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x14="http://schemas.microsoft.com/office/spreadsheetml/2009/9/main" xmlns:xdr="http://schemas.openxmlformats.org/drawingml/2006/spreadsheetDrawing" xmlns:xml="http://www.w3.org/XML/1998/namespace" mc:Ignorable="co w14 x14 w15">
  <w:body>
    <w:p w14:paraId="01000000">
      <w:pPr>
        <w:spacing w:after="0" w:line="240" w:lineRule="auto"/>
        <w:ind/>
        <w:rPr>
          <w:rFonts w:ascii="Times New Roman" w:hAnsi="Times New Roman"/>
          <w:sz w:val="24"/>
        </w:rPr>
      </w:pPr>
      <w:r>
        <w:drawing>
          <wp:inline>
            <wp:extent cx="5940424" cy="7941744"/>
            <wp:docPr id="1" name="Picture"/>
            <a:graphic>
              <a:graphicData uri="http://schemas.openxmlformats.org/drawingml/2006/picture">
                <pic:pic>
                  <pic:nvPicPr>
                    <pic:cNvPr id="0" name="Picture"/>
                    <pic:cNvPicPr preferRelativeResize="true"/>
                  </pic:nvPicPr>
                  <pic:blipFill>
                    <a:blip r:embed="rId1" r:link=""/>
                    <a:stretch/>
                  </pic:blipFill>
                  <pic:spPr>
                    <a:xfrm rot="0">
                      <a:off x="0" y="0"/>
                      <a:ext cx="5940424" cy="7941744"/>
                    </a:xfrm>
                    <a:prstGeom prst="rect"/>
                  </pic:spPr>
                </pic:pic>
              </a:graphicData>
            </a:graphic>
          </wp:inline>
        </w:drawing>
      </w:r>
    </w:p>
    <w:p w14:paraId="02000000">
      <w:pPr>
        <w:spacing w:after="0" w:line="240" w:lineRule="auto"/>
        <w:ind/>
        <w:rPr>
          <w:rFonts w:ascii="Times New Roman" w:hAnsi="Times New Roman"/>
          <w:sz w:val="24"/>
        </w:rPr>
      </w:pPr>
    </w:p>
    <w:p w14:paraId="03000000">
      <w:pPr>
        <w:spacing w:after="0" w:line="240" w:lineRule="auto"/>
        <w:ind/>
        <w:rPr>
          <w:rFonts w:ascii="Times New Roman" w:hAnsi="Times New Roman"/>
          <w:sz w:val="24"/>
        </w:rPr>
      </w:pPr>
    </w:p>
    <w:p w14:paraId="04000000">
      <w:pPr>
        <w:spacing w:after="0" w:line="240" w:lineRule="auto"/>
        <w:ind/>
        <w:rPr>
          <w:rFonts w:ascii="Times New Roman" w:hAnsi="Times New Roman"/>
          <w:sz w:val="24"/>
        </w:rPr>
      </w:pPr>
    </w:p>
    <w:p w14:paraId="05000000">
      <w:pPr>
        <w:spacing w:after="0" w:line="240" w:lineRule="auto"/>
        <w:ind/>
        <w:rPr>
          <w:rFonts w:ascii="Times New Roman" w:hAnsi="Times New Roman"/>
          <w:sz w:val="24"/>
        </w:rPr>
      </w:pPr>
    </w:p>
    <w:p w14:paraId="06000000">
      <w:pPr>
        <w:spacing w:after="0" w:line="240" w:lineRule="auto"/>
        <w:ind/>
        <w:rPr>
          <w:rFonts w:ascii="Times New Roman" w:hAnsi="Times New Roman"/>
          <w:sz w:val="24"/>
        </w:rPr>
      </w:pPr>
    </w:p>
    <w:p w14:paraId="07000000">
      <w:pPr>
        <w:spacing w:after="0" w:line="240" w:lineRule="auto"/>
        <w:ind/>
        <w:rPr>
          <w:rFonts w:ascii="Times New Roman" w:hAnsi="Times New Roman"/>
          <w:sz w:val="24"/>
        </w:rPr>
      </w:pPr>
    </w:p>
    <w:p w14:paraId="08000000">
      <w:pPr>
        <w:spacing w:after="0" w:line="240" w:lineRule="auto"/>
        <w:ind/>
        <w:rPr>
          <w:rFonts w:ascii="Times New Roman" w:hAnsi="Times New Roman"/>
          <w:sz w:val="24"/>
        </w:rPr>
      </w:pPr>
    </w:p>
    <w:p w14:paraId="09000000">
      <w:pPr>
        <w:spacing w:after="0" w:line="240" w:lineRule="auto"/>
        <w:ind/>
        <w:rPr>
          <w:rFonts w:ascii="Times New Roman" w:hAnsi="Times New Roman"/>
          <w:sz w:val="24"/>
        </w:rPr>
      </w:pPr>
      <w:r>
        <w:rPr>
          <w:rFonts w:ascii="Times New Roman" w:hAnsi="Times New Roman"/>
          <w:b w:val="1"/>
          <w:sz w:val="24"/>
        </w:rPr>
        <w:t>Пояснительная записка</w:t>
      </w:r>
    </w:p>
    <w:p w14:paraId="0A000000">
      <w:pPr>
        <w:pStyle w:val="Style_1"/>
        <w:spacing w:after="240" w:line="298" w:lineRule="exact"/>
        <w:ind w:firstLine="0" w:left="0" w:right="900"/>
        <w:rPr>
          <w:sz w:val="24"/>
        </w:rPr>
      </w:pPr>
      <w:r>
        <w:rPr>
          <w:sz w:val="24"/>
        </w:rPr>
        <w:t xml:space="preserve">к учебному плану МБОУ </w:t>
      </w:r>
      <w:r>
        <w:rPr>
          <w:sz w:val="24"/>
        </w:rPr>
        <w:t>Кызыл-Дагская</w:t>
      </w:r>
      <w:r>
        <w:rPr>
          <w:sz w:val="24"/>
        </w:rPr>
        <w:t xml:space="preserve"> СОШ  по орга</w:t>
      </w:r>
      <w:r>
        <w:rPr>
          <w:sz w:val="24"/>
        </w:rPr>
        <w:t>низации обучения</w:t>
      </w:r>
      <w:r>
        <w:rPr>
          <w:sz w:val="24"/>
        </w:rPr>
        <w:t xml:space="preserve">                                    </w:t>
      </w:r>
      <w:r>
        <w:rPr>
          <w:sz w:val="24"/>
        </w:rPr>
        <w:t xml:space="preserve"> на дому на 20</w:t>
      </w:r>
      <w:r>
        <w:rPr>
          <w:sz w:val="24"/>
        </w:rPr>
        <w:t>21</w:t>
      </w:r>
      <w:r>
        <w:rPr>
          <w:sz w:val="24"/>
        </w:rPr>
        <w:t xml:space="preserve"> - 202</w:t>
      </w:r>
      <w:r>
        <w:rPr>
          <w:sz w:val="24"/>
        </w:rPr>
        <w:t>2</w:t>
      </w:r>
      <w:r>
        <w:rPr>
          <w:sz w:val="24"/>
        </w:rPr>
        <w:t xml:space="preserve"> учебный год</w:t>
      </w:r>
    </w:p>
    <w:p w14:paraId="0B000000">
      <w:pPr>
        <w:pStyle w:val="Style_1"/>
        <w:spacing w:after="0" w:line="298" w:lineRule="exact"/>
        <w:ind w:firstLine="540" w:left="160" w:right="40"/>
        <w:jc w:val="both"/>
        <w:rPr>
          <w:sz w:val="24"/>
        </w:rPr>
      </w:pPr>
      <w:r>
        <w:rPr>
          <w:sz w:val="24"/>
        </w:rPr>
        <w:t>1.1.</w:t>
      </w:r>
      <w:r>
        <w:rPr>
          <w:sz w:val="24"/>
        </w:rPr>
        <w:t xml:space="preserve">Учебный план для организации обучения на дому — нормативный документ, который определяет перечень, трудоемкость, последовательность и распределение по периодам обучения учебных предметов, курсов, иных видов деятельности обучающихся </w:t>
      </w:r>
    </w:p>
    <w:p w14:paraId="0C000000">
      <w:pPr>
        <w:pStyle w:val="Style_1"/>
        <w:spacing w:after="0" w:line="298" w:lineRule="exact"/>
        <w:ind w:firstLine="920" w:left="0" w:right="40"/>
        <w:jc w:val="both"/>
        <w:rPr>
          <w:sz w:val="24"/>
        </w:rPr>
      </w:pPr>
      <w:r>
        <w:rPr>
          <w:sz w:val="24"/>
        </w:rPr>
        <w:t xml:space="preserve">В МБОУ </w:t>
      </w:r>
      <w:r>
        <w:rPr>
          <w:sz w:val="24"/>
        </w:rPr>
        <w:t>Кызыл-Дагская</w:t>
      </w:r>
      <w:r>
        <w:rPr>
          <w:sz w:val="24"/>
        </w:rPr>
        <w:t xml:space="preserve"> СОШ  в 20</w:t>
      </w:r>
      <w:r>
        <w:rPr>
          <w:sz w:val="24"/>
        </w:rPr>
        <w:t>21</w:t>
      </w:r>
      <w:r>
        <w:rPr>
          <w:sz w:val="24"/>
        </w:rPr>
        <w:t>-202</w:t>
      </w:r>
      <w:r>
        <w:rPr>
          <w:sz w:val="24"/>
        </w:rPr>
        <w:t>2</w:t>
      </w:r>
      <w:r>
        <w:rPr>
          <w:sz w:val="24"/>
        </w:rPr>
        <w:t xml:space="preserve"> учебном году организовано обучение на дому для детей-инвалидов и детей, которые по состоянию здоровья не имеют возможности обучаться в условиях класса общеобразовательной</w:t>
      </w:r>
      <w:r>
        <w:rPr>
          <w:sz w:val="24"/>
        </w:rPr>
        <w:t xml:space="preserve"> </w:t>
      </w:r>
      <w:r>
        <w:rPr>
          <w:rStyle w:val="Style_2_ch"/>
          <w:sz w:val="24"/>
          <w:u w:val="none"/>
        </w:rPr>
        <w:t>шк</w:t>
      </w:r>
      <w:r>
        <w:rPr>
          <w:sz w:val="24"/>
        </w:rPr>
        <w:t>олы</w:t>
      </w:r>
      <w:r>
        <w:rPr>
          <w:sz w:val="24"/>
        </w:rPr>
        <w:t xml:space="preserve">. Основанием для организации обучения на дому является заключение медицинской организации, а также заявление родителей (законных представителей). Организация обучения регламентируется индивидуальным учебным планом, учебным годовым календарным графиком и расписанием занятий, которые разработаны МБОУ </w:t>
      </w:r>
      <w:r>
        <w:rPr>
          <w:sz w:val="24"/>
        </w:rPr>
        <w:t>Кызыл-Дагская</w:t>
      </w:r>
      <w:r>
        <w:rPr>
          <w:sz w:val="24"/>
        </w:rPr>
        <w:t xml:space="preserve"> СОШ  в соответствии с Положением об организации обучения детей на дому.</w:t>
      </w:r>
    </w:p>
    <w:p w14:paraId="0D000000">
      <w:pPr>
        <w:pStyle w:val="Style_1"/>
        <w:spacing w:after="0" w:line="298" w:lineRule="exact"/>
        <w:ind w:firstLine="780" w:left="160" w:right="40"/>
        <w:jc w:val="both"/>
        <w:rPr>
          <w:sz w:val="24"/>
        </w:rPr>
      </w:pPr>
      <w:r>
        <w:rPr>
          <w:sz w:val="24"/>
        </w:rPr>
        <w:t>Образование на дому - это форма обучения, которую ребенок получает в домашних условиях, а сам процесс обучения осуществляется по индивидуальному образовательному плану.</w:t>
      </w:r>
    </w:p>
    <w:p w14:paraId="0E000000">
      <w:pPr>
        <w:pStyle w:val="Style_1"/>
        <w:spacing w:after="0" w:line="298" w:lineRule="exact"/>
        <w:ind w:firstLine="780" w:left="160" w:right="40"/>
        <w:jc w:val="both"/>
        <w:rPr>
          <w:sz w:val="24"/>
        </w:rPr>
      </w:pPr>
      <w:r>
        <w:rPr>
          <w:sz w:val="24"/>
        </w:rPr>
        <w:t xml:space="preserve">Цель обучения: предоставить возможность лицам, которые не могут обучаться в условиях класса общеобразовательной школы, получить в адекватных их физическим особенностям условиях образование в пределах государственных стандартов. Также школа решает специальные задачи по воспитанию, социальной адаптации и интеграции в общество детей, которые по состоянию здоровья не могут систематически посещать занятия в </w:t>
      </w:r>
      <w:r>
        <w:rPr>
          <w:rStyle w:val="Style_2_ch"/>
          <w:sz w:val="24"/>
          <w:u w:val="none"/>
        </w:rPr>
        <w:t>шк</w:t>
      </w:r>
      <w:r>
        <w:rPr>
          <w:sz w:val="24"/>
        </w:rPr>
        <w:t>оле.</w:t>
      </w:r>
    </w:p>
    <w:p w14:paraId="0F000000">
      <w:pPr>
        <w:pStyle w:val="Style_1"/>
        <w:spacing w:after="0" w:line="298" w:lineRule="exact"/>
        <w:ind w:firstLine="780" w:left="160" w:right="40"/>
        <w:jc w:val="both"/>
        <w:rPr>
          <w:sz w:val="24"/>
        </w:rPr>
      </w:pPr>
      <w:r>
        <w:rPr>
          <w:sz w:val="24"/>
        </w:rPr>
        <w:t>Содержание обучения на каждом уровне строится на основе общих закономерностей развития психики ребенка и новообразований, возникающих благодаря коррекционному обучению и социальному развитию.</w:t>
      </w:r>
    </w:p>
    <w:p w14:paraId="10000000">
      <w:pPr>
        <w:pStyle w:val="Style_1"/>
        <w:spacing w:after="0" w:line="298" w:lineRule="exact"/>
        <w:ind w:firstLine="780" w:left="160" w:right="40"/>
        <w:jc w:val="both"/>
        <w:rPr>
          <w:sz w:val="24"/>
        </w:rPr>
      </w:pPr>
      <w:r>
        <w:rPr>
          <w:sz w:val="24"/>
        </w:rPr>
        <w:t>Для детей, обучающихся по общеобразовательным программам, по адаптированным программам, по состоянию здоровья временно или постоянно не посещающих общеобразовательное учреждение и общеобразовательной программе, учебный план разработан на основе нормативно</w:t>
      </w:r>
      <w:r>
        <w:rPr>
          <w:sz w:val="24"/>
        </w:rPr>
        <w:t xml:space="preserve"> </w:t>
      </w:r>
      <w:r>
        <w:rPr>
          <w:sz w:val="24"/>
        </w:rPr>
        <w:t>правовой базы с учетом индивидуальных возможностей детей, их особенностей познавательной деятельности. Учебный план направлен на разностороннее развитие личности учащихся, что способствует их умственному развитию, обеспечивает гражданское и нравственное, трудовое воспитание. Образовательный процесс содержит материал, помогающий учащимся достичь того уровня общеобразовательных знаний и умений, который необходим им для социальной адаптации.</w:t>
      </w:r>
    </w:p>
    <w:p w14:paraId="11000000">
      <w:pPr>
        <w:pStyle w:val="Style_1"/>
        <w:spacing w:after="0" w:line="298" w:lineRule="exact"/>
        <w:ind w:firstLine="780" w:left="160" w:right="40"/>
        <w:jc w:val="both"/>
        <w:rPr>
          <w:sz w:val="24"/>
        </w:rPr>
      </w:pPr>
      <w:r>
        <w:rPr>
          <w:sz w:val="24"/>
        </w:rPr>
        <w:t xml:space="preserve">Образование детей на дому по медицинским показаниям организуется на основе приказа  по </w:t>
      </w:r>
      <w:r>
        <w:rPr>
          <w:rStyle w:val="Style_2_ch"/>
          <w:sz w:val="24"/>
          <w:u w:val="none"/>
        </w:rPr>
        <w:t>шк</w:t>
      </w:r>
      <w:r>
        <w:rPr>
          <w:sz w:val="24"/>
        </w:rPr>
        <w:t>оле. Для каждого обучающегося составляются учебный план и расписание учебных занятий, которое обязательно согласовывается с родителями (законными представителями) учащихся.</w:t>
      </w:r>
    </w:p>
    <w:p w14:paraId="12000000">
      <w:pPr>
        <w:pStyle w:val="Style_3"/>
        <w:ind w:firstLine="708" w:left="0"/>
        <w:jc w:val="both"/>
        <w:rPr>
          <w:rFonts w:ascii="Times New Roman" w:hAnsi="Times New Roman"/>
          <w:sz w:val="24"/>
        </w:rPr>
      </w:pPr>
      <w:r>
        <w:rPr>
          <w:rFonts w:ascii="Times New Roman" w:hAnsi="Times New Roman"/>
          <w:sz w:val="24"/>
        </w:rPr>
        <w:t xml:space="preserve">1.2. Учебный план МБОУ </w:t>
      </w:r>
      <w:r>
        <w:rPr>
          <w:rFonts w:ascii="Times New Roman" w:hAnsi="Times New Roman"/>
          <w:sz w:val="24"/>
        </w:rPr>
        <w:t>Кызыл-Дагская</w:t>
      </w:r>
      <w:r>
        <w:rPr>
          <w:rFonts w:ascii="Times New Roman" w:hAnsi="Times New Roman"/>
          <w:sz w:val="24"/>
        </w:rPr>
        <w:t xml:space="preserve"> СОШ, осуществляющего </w:t>
      </w:r>
      <w:r>
        <w:rPr>
          <w:rFonts w:ascii="Times New Roman" w:hAnsi="Times New Roman"/>
          <w:sz w:val="24"/>
        </w:rPr>
        <w:t>обучение</w:t>
      </w:r>
      <w:r>
        <w:rPr>
          <w:rFonts w:ascii="Times New Roman" w:hAnsi="Times New Roman"/>
          <w:sz w:val="24"/>
        </w:rPr>
        <w:t xml:space="preserve"> по адаптированной основной общеобразовательной программе для детей с нарушениями опорно-двигательного аппарата, формирован в соответствии с требованиями:</w:t>
      </w:r>
    </w:p>
    <w:p w14:paraId="13000000">
      <w:pPr>
        <w:spacing w:after="0" w:line="240" w:lineRule="auto"/>
        <w:ind w:firstLine="567" w:left="0"/>
        <w:jc w:val="both"/>
        <w:rPr>
          <w:rFonts w:ascii="Times New Roman" w:hAnsi="Times New Roman"/>
          <w:sz w:val="24"/>
        </w:rPr>
      </w:pPr>
      <w:r>
        <w:rPr>
          <w:rFonts w:ascii="Times New Roman" w:hAnsi="Times New Roman"/>
          <w:sz w:val="24"/>
        </w:rPr>
        <w:t>- Конституции Российской Федерации (</w:t>
      </w:r>
      <w:r>
        <w:rPr>
          <w:rFonts w:ascii="Times New Roman" w:hAnsi="Times New Roman"/>
          <w:sz w:val="24"/>
        </w:rPr>
        <w:t>принята</w:t>
      </w:r>
      <w:r>
        <w:rPr>
          <w:rFonts w:ascii="Times New Roman" w:hAnsi="Times New Roman"/>
          <w:sz w:val="24"/>
        </w:rPr>
        <w:t xml:space="preserve"> всенародным голосованием 12.12.1993 с изменениями, одобренными в ходе общероссийского голосования 01.07.2020);</w:t>
      </w:r>
    </w:p>
    <w:p w14:paraId="14000000">
      <w:pPr>
        <w:spacing w:after="0" w:line="240" w:lineRule="auto"/>
        <w:ind w:firstLine="567" w:left="0"/>
        <w:jc w:val="both"/>
        <w:rPr>
          <w:rFonts w:ascii="Times New Roman" w:hAnsi="Times New Roman"/>
          <w:sz w:val="24"/>
        </w:rPr>
      </w:pPr>
      <w:r>
        <w:rPr>
          <w:rFonts w:ascii="Times New Roman" w:hAnsi="Times New Roman"/>
          <w:sz w:val="24"/>
        </w:rPr>
        <w:t>- Конвенции о правах ребенка (одобрена Генеральной Ассамблеей ООН 20.11.1989, вступила в силу для СССР 15.09.1990);</w:t>
      </w:r>
    </w:p>
    <w:p w14:paraId="15000000">
      <w:pPr>
        <w:spacing w:after="0" w:line="240" w:lineRule="auto"/>
        <w:ind w:firstLine="567" w:left="0"/>
        <w:jc w:val="both"/>
        <w:rPr>
          <w:rFonts w:ascii="Times New Roman" w:hAnsi="Times New Roman"/>
          <w:sz w:val="24"/>
        </w:rPr>
      </w:pPr>
      <w:r>
        <w:rPr>
          <w:rFonts w:ascii="Times New Roman" w:hAnsi="Times New Roman"/>
          <w:sz w:val="24"/>
        </w:rPr>
        <w:t>- Федерального закона «Об образовании в Российской Федерации» от 29.12.2013 №273-ФЗ;</w:t>
      </w:r>
    </w:p>
    <w:p w14:paraId="16000000">
      <w:pPr>
        <w:pStyle w:val="Style_3"/>
        <w:ind w:firstLine="567" w:left="0"/>
        <w:jc w:val="both"/>
        <w:rPr>
          <w:rFonts w:ascii="Times New Roman" w:hAnsi="Times New Roman"/>
          <w:sz w:val="24"/>
        </w:rPr>
      </w:pPr>
      <w:r>
        <w:rPr>
          <w:rFonts w:ascii="Times New Roman" w:hAnsi="Times New Roman"/>
          <w:sz w:val="24"/>
        </w:rPr>
        <w:t>- Федерального базисного учебного плана, утвержденного приказом Министерства образования Российской Федерации от 09.03.2004 № 1312 (далее – ФБУП-2004);</w:t>
      </w:r>
    </w:p>
    <w:p w14:paraId="17000000">
      <w:pPr>
        <w:pStyle w:val="Style_3"/>
        <w:ind w:firstLine="567" w:left="0"/>
        <w:jc w:val="both"/>
        <w:rPr>
          <w:rFonts w:ascii="Times New Roman" w:hAnsi="Times New Roman"/>
          <w:color w:val="FF0000"/>
          <w:sz w:val="24"/>
        </w:rPr>
      </w:pPr>
      <w:r>
        <w:rPr>
          <w:rFonts w:ascii="Times New Roman" w:hAnsi="Times New Roman"/>
          <w:sz w:val="24"/>
        </w:rPr>
        <w:t xml:space="preserve">-  Федерального компонента государственных образовательных стандартов общего образования, утвержденным приказом Министерства образования Российской Федерации от 05.03.2004 № 1089 «Об утверждении федерального компонента государственных образовательных стандартов начального общего, основного общего и среднего (полного) общего образования» (далее – ФКГОС) (для </w:t>
      </w:r>
      <w:r>
        <w:rPr>
          <w:rFonts w:ascii="Times New Roman" w:hAnsi="Times New Roman"/>
          <w:sz w:val="24"/>
        </w:rPr>
        <w:t>X</w:t>
      </w:r>
      <w:r>
        <w:rPr>
          <w:rFonts w:ascii="Times New Roman" w:hAnsi="Times New Roman"/>
          <w:sz w:val="24"/>
        </w:rPr>
        <w:t>-</w:t>
      </w:r>
      <w:r>
        <w:rPr>
          <w:rFonts w:ascii="Times New Roman" w:hAnsi="Times New Roman"/>
          <w:sz w:val="24"/>
        </w:rPr>
        <w:t>XI</w:t>
      </w:r>
      <w:r>
        <w:rPr>
          <w:rFonts w:ascii="Times New Roman" w:hAnsi="Times New Roman"/>
          <w:sz w:val="24"/>
        </w:rPr>
        <w:t xml:space="preserve"> (</w:t>
      </w:r>
      <w:r>
        <w:rPr>
          <w:rFonts w:ascii="Times New Roman" w:hAnsi="Times New Roman"/>
          <w:sz w:val="24"/>
        </w:rPr>
        <w:t>XII</w:t>
      </w:r>
      <w:r>
        <w:rPr>
          <w:rFonts w:ascii="Times New Roman" w:hAnsi="Times New Roman"/>
          <w:sz w:val="24"/>
        </w:rPr>
        <w:t>) классов);</w:t>
      </w:r>
    </w:p>
    <w:p w14:paraId="18000000">
      <w:pPr>
        <w:pStyle w:val="Style_3"/>
        <w:ind w:firstLine="567" w:left="0"/>
        <w:jc w:val="both"/>
        <w:rPr>
          <w:rFonts w:ascii="Times New Roman" w:hAnsi="Times New Roman"/>
          <w:sz w:val="24"/>
        </w:rPr>
      </w:pPr>
      <w:r>
        <w:rPr>
          <w:rFonts w:ascii="Times New Roman" w:hAnsi="Times New Roman"/>
          <w:sz w:val="24"/>
        </w:rPr>
        <w:t xml:space="preserve">- Федерального государственного образовательного стандарта начального общего образования </w:t>
      </w:r>
      <w:r>
        <w:rPr>
          <w:rFonts w:ascii="Times New Roman" w:hAnsi="Times New Roman"/>
          <w:sz w:val="24"/>
        </w:rPr>
        <w:t>обучающихся</w:t>
      </w:r>
      <w:r>
        <w:rPr>
          <w:rFonts w:ascii="Times New Roman" w:hAnsi="Times New Roman"/>
          <w:sz w:val="24"/>
        </w:rPr>
        <w:t xml:space="preserve"> с ограниченными возможностями здоровья, утвержденного приказом Министерства образования и науки Российской Федерации от 19.12.2014 № 1598 (далее – ФГОС начального общего образования обучающихся с ОВЗ);</w:t>
      </w:r>
    </w:p>
    <w:p w14:paraId="19000000">
      <w:pPr>
        <w:pStyle w:val="Style_3"/>
        <w:ind w:firstLine="567" w:left="0"/>
        <w:jc w:val="both"/>
        <w:rPr>
          <w:rFonts w:ascii="Times New Roman" w:hAnsi="Times New Roman"/>
          <w:sz w:val="24"/>
        </w:rPr>
      </w:pPr>
      <w:r>
        <w:rPr>
          <w:rFonts w:ascii="Times New Roman" w:hAnsi="Times New Roman"/>
          <w:sz w:val="24"/>
        </w:rPr>
        <w:t xml:space="preserve">- Федерального государственного образовательного стандарта образования </w:t>
      </w:r>
      <w:r>
        <w:rPr>
          <w:rFonts w:ascii="Times New Roman" w:hAnsi="Times New Roman"/>
          <w:sz w:val="24"/>
        </w:rPr>
        <w:t>обучающихся</w:t>
      </w:r>
      <w:r>
        <w:rPr>
          <w:rFonts w:ascii="Times New Roman" w:hAnsi="Times New Roman"/>
          <w:sz w:val="24"/>
        </w:rPr>
        <w:t xml:space="preserve"> с умственной отсталостью (интеллектуальными нарушениями), утвержденным приказом Министерства образования и науки Российской Федерации </w:t>
      </w:r>
      <w:r>
        <w:rPr>
          <w:rFonts w:ascii="Times New Roman" w:hAnsi="Times New Roman"/>
          <w:sz w:val="24"/>
        </w:rPr>
        <w:br/>
      </w:r>
      <w:r>
        <w:rPr>
          <w:rFonts w:ascii="Times New Roman" w:hAnsi="Times New Roman"/>
          <w:sz w:val="24"/>
        </w:rPr>
        <w:t>от 19.12.2014 № 1599 (далее – ФГОС обучающихся с интеллектуальными нарушениями);</w:t>
      </w:r>
    </w:p>
    <w:p w14:paraId="1A000000">
      <w:pPr>
        <w:spacing w:after="0" w:line="240" w:lineRule="auto"/>
        <w:ind w:firstLine="567" w:left="0"/>
        <w:jc w:val="both"/>
        <w:rPr>
          <w:rFonts w:ascii="Times New Roman" w:hAnsi="Times New Roman"/>
          <w:sz w:val="24"/>
        </w:rPr>
      </w:pPr>
      <w:r>
        <w:rPr>
          <w:rFonts w:ascii="Times New Roman" w:hAnsi="Times New Roman"/>
          <w:sz w:val="24"/>
        </w:rPr>
        <w:t>- Приказа Министерства просвещения России от 20 мая 2020 года № 254  "Об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 (в редакции от 13.03.2021 г.);</w:t>
      </w:r>
    </w:p>
    <w:p w14:paraId="1B000000">
      <w:pPr>
        <w:spacing w:after="0" w:line="240" w:lineRule="auto"/>
        <w:ind w:firstLine="567" w:left="0"/>
        <w:contextualSpacing w:val="1"/>
        <w:jc w:val="both"/>
        <w:rPr>
          <w:rFonts w:ascii="Times New Roman" w:hAnsi="Times New Roman"/>
          <w:sz w:val="24"/>
        </w:rPr>
      </w:pPr>
      <w:r>
        <w:rPr>
          <w:rFonts w:ascii="Times New Roman" w:hAnsi="Times New Roman"/>
          <w:sz w:val="24"/>
        </w:rPr>
        <w:t>- Перечня организаций, осуществляющих выпуск учебных пособий, которые допускаются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утвержденного приказом Министерства образования и науки Российской Федерации от 09.06.2016 № 699;</w:t>
      </w:r>
    </w:p>
    <w:p w14:paraId="1C000000">
      <w:pPr>
        <w:spacing w:after="0" w:line="240" w:lineRule="auto"/>
        <w:ind w:firstLine="567" w:left="0"/>
        <w:jc w:val="both"/>
        <w:rPr>
          <w:rFonts w:ascii="Times New Roman" w:hAnsi="Times New Roman"/>
          <w:sz w:val="24"/>
        </w:rPr>
      </w:pPr>
      <w:r>
        <w:rPr>
          <w:rFonts w:ascii="Times New Roman" w:hAnsi="Times New Roman"/>
          <w:sz w:val="24"/>
        </w:rPr>
        <w:t>- Приказа Министерства просвещения Российской Федерации от 22.03.2021 № 115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w:t>
      </w:r>
      <w:r>
        <w:rPr>
          <w:rFonts w:ascii="Times New Roman" w:hAnsi="Times New Roman"/>
          <w:sz w:val="24"/>
        </w:rPr>
        <w:t>Зарегистрирован</w:t>
      </w:r>
      <w:r>
        <w:rPr>
          <w:rFonts w:ascii="Times New Roman" w:hAnsi="Times New Roman"/>
          <w:sz w:val="24"/>
        </w:rPr>
        <w:t xml:space="preserve">  20.04.2021 № 63180);</w:t>
      </w:r>
    </w:p>
    <w:p w14:paraId="1D000000">
      <w:pPr>
        <w:spacing w:after="0" w:line="240" w:lineRule="auto"/>
        <w:ind w:firstLine="567" w:left="0"/>
        <w:contextualSpacing w:val="1"/>
        <w:jc w:val="both"/>
        <w:rPr>
          <w:rFonts w:ascii="Times New Roman" w:hAnsi="Times New Roman"/>
          <w:sz w:val="24"/>
        </w:rPr>
      </w:pPr>
      <w:r>
        <w:rPr>
          <w:rFonts w:ascii="Times New Roman" w:hAnsi="Times New Roman"/>
          <w:sz w:val="24"/>
        </w:rPr>
        <w:t>- Санитарных правил и норм (</w:t>
      </w:r>
      <w:r>
        <w:rPr>
          <w:rFonts w:ascii="Times New Roman" w:hAnsi="Times New Roman"/>
          <w:sz w:val="24"/>
        </w:rPr>
        <w:t>СанПин</w:t>
      </w:r>
      <w:r>
        <w:rPr>
          <w:rFonts w:ascii="Times New Roman" w:hAnsi="Times New Roman"/>
          <w:sz w:val="24"/>
        </w:rPr>
        <w:t xml:space="preserve"> 2.4.3648-20) «санитарно-эпидемиологические требования к организации воспитания и обучения, отдыха и оздоровления детей и молодежи", утвержденных Постановлением Главного государственного санитарного врача Российской Федерации от 28.09.2020 № 28 " (</w:t>
      </w:r>
      <w:r>
        <w:rPr>
          <w:rFonts w:ascii="Times New Roman" w:hAnsi="Times New Roman"/>
          <w:sz w:val="24"/>
        </w:rPr>
        <w:t>Зарегистрирован</w:t>
      </w:r>
      <w:r>
        <w:rPr>
          <w:rFonts w:ascii="Times New Roman" w:hAnsi="Times New Roman"/>
          <w:sz w:val="24"/>
        </w:rPr>
        <w:t xml:space="preserve"> 18.12.2020 № 61573);</w:t>
      </w:r>
    </w:p>
    <w:p w14:paraId="1E000000">
      <w:pPr>
        <w:spacing w:after="0" w:line="240" w:lineRule="auto"/>
        <w:ind w:firstLine="567" w:left="0"/>
        <w:contextualSpacing w:val="1"/>
        <w:jc w:val="both"/>
        <w:rPr>
          <w:rFonts w:ascii="Times New Roman" w:hAnsi="Times New Roman"/>
          <w:sz w:val="24"/>
        </w:rPr>
      </w:pPr>
      <w:r>
        <w:rPr>
          <w:rFonts w:ascii="Times New Roman" w:hAnsi="Times New Roman"/>
          <w:sz w:val="24"/>
        </w:rPr>
        <w:t>- Санитарных правил и норм (</w:t>
      </w:r>
      <w:r>
        <w:rPr>
          <w:rFonts w:ascii="Times New Roman" w:hAnsi="Times New Roman"/>
          <w:sz w:val="24"/>
        </w:rPr>
        <w:t>СанПин</w:t>
      </w:r>
      <w:r>
        <w:rPr>
          <w:rFonts w:ascii="Times New Roman" w:hAnsi="Times New Roman"/>
          <w:sz w:val="24"/>
        </w:rPr>
        <w:t xml:space="preserve">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w:t>
      </w:r>
      <w:r>
        <w:rPr>
          <w:rFonts w:ascii="Times New Roman" w:hAnsi="Times New Roman"/>
          <w:sz w:val="24"/>
        </w:rPr>
        <w:t>коронавирусной</w:t>
      </w:r>
      <w:r>
        <w:rPr>
          <w:rFonts w:ascii="Times New Roman" w:hAnsi="Times New Roman"/>
          <w:sz w:val="24"/>
        </w:rPr>
        <w:t xml:space="preserve"> инфекции (COVID-19)", утвержденных Постановлением Главного государственного санитарного врача Российской Федерации от 30.06.2020 № 16 (Зарегистрирован 29.03.2021 № 62900) (с изменениями, внесенными Постановлением Главного государственного санитарного врача Российской Федерации от 24.03.2021</w:t>
      </w:r>
      <w:r>
        <w:rPr>
          <w:rFonts w:ascii="Times New Roman" w:hAnsi="Times New Roman"/>
          <w:sz w:val="24"/>
        </w:rPr>
        <w:t xml:space="preserve"> № 10);</w:t>
      </w:r>
    </w:p>
    <w:p w14:paraId="1F000000">
      <w:pPr>
        <w:spacing w:after="0" w:line="240" w:lineRule="auto"/>
        <w:ind w:firstLine="567" w:left="0"/>
        <w:contextualSpacing w:val="1"/>
        <w:jc w:val="both"/>
        <w:rPr>
          <w:rFonts w:ascii="Times New Roman" w:hAnsi="Times New Roman"/>
          <w:sz w:val="24"/>
        </w:rPr>
      </w:pPr>
      <w:r>
        <w:rPr>
          <w:rFonts w:ascii="Times New Roman" w:hAnsi="Times New Roman"/>
          <w:sz w:val="24"/>
        </w:rPr>
        <w:t>- Санитарных правил и норм (</w:t>
      </w:r>
      <w:r>
        <w:rPr>
          <w:rFonts w:ascii="Times New Roman" w:hAnsi="Times New Roman"/>
          <w:sz w:val="24"/>
        </w:rPr>
        <w:t>СанПиН</w:t>
      </w:r>
      <w:r>
        <w:rPr>
          <w:rFonts w:ascii="Times New Roman" w:hAnsi="Times New Roman"/>
          <w:sz w:val="24"/>
        </w:rPr>
        <w:t xml:space="preserve"> 1.2.3685-21) «Гигиенические нормативы и требования к обеспечению безопасности и (или) безвредности для человека факторов среды обитания», утвержденных Постановлением Главного государственного санитарного врача Российской Федерации от 28.01.2021 №2  (</w:t>
      </w:r>
      <w:r>
        <w:rPr>
          <w:rFonts w:ascii="Times New Roman" w:hAnsi="Times New Roman"/>
          <w:sz w:val="24"/>
        </w:rPr>
        <w:t>стр</w:t>
      </w:r>
      <w:r>
        <w:rPr>
          <w:rFonts w:ascii="Times New Roman" w:hAnsi="Times New Roman"/>
          <w:sz w:val="24"/>
        </w:rPr>
        <w:t xml:space="preserve"> 369-402);</w:t>
      </w:r>
    </w:p>
    <w:p w14:paraId="20000000">
      <w:pPr>
        <w:pStyle w:val="Style_3"/>
        <w:ind w:firstLine="567" w:left="0"/>
        <w:jc w:val="both"/>
        <w:rPr>
          <w:rFonts w:ascii="Times New Roman" w:hAnsi="Times New Roman"/>
          <w:sz w:val="24"/>
        </w:rPr>
      </w:pPr>
      <w:r>
        <w:rPr>
          <w:rFonts w:ascii="Times New Roman" w:hAnsi="Times New Roman"/>
          <w:sz w:val="24"/>
        </w:rPr>
        <w:t xml:space="preserve">- Примерной адаптированной основной общеобразовательной программы образования </w:t>
      </w:r>
      <w:r>
        <w:rPr>
          <w:rFonts w:ascii="Times New Roman" w:hAnsi="Times New Roman"/>
          <w:sz w:val="24"/>
        </w:rPr>
        <w:t>обучающихся</w:t>
      </w:r>
      <w:r>
        <w:rPr>
          <w:rFonts w:ascii="Times New Roman" w:hAnsi="Times New Roman"/>
          <w:sz w:val="24"/>
        </w:rPr>
        <w:t xml:space="preserve"> с умственной отсталостью (интеллектуальными нарушениями). </w:t>
      </w:r>
      <w:r>
        <w:rPr>
          <w:rFonts w:ascii="Times New Roman" w:hAnsi="Times New Roman"/>
          <w:sz w:val="24"/>
        </w:rPr>
        <w:t>Одобрена</w:t>
      </w:r>
      <w:r>
        <w:rPr>
          <w:rFonts w:ascii="Times New Roman" w:hAnsi="Times New Roman"/>
          <w:sz w:val="24"/>
        </w:rPr>
        <w:t xml:space="preserve"> решением федерального учебно-методического объединения по общему образованию </w:t>
      </w:r>
      <w:r>
        <w:rPr>
          <w:rFonts w:ascii="Times New Roman" w:hAnsi="Times New Roman"/>
          <w:sz w:val="24"/>
        </w:rPr>
        <w:t>(</w:t>
      </w:r>
      <w:r>
        <w:rPr>
          <w:rFonts w:ascii="Times New Roman" w:hAnsi="Times New Roman"/>
          <w:sz w:val="24"/>
        </w:rPr>
        <w:t>п</w:t>
      </w:r>
      <w:r>
        <w:rPr>
          <w:rFonts w:ascii="Times New Roman" w:hAnsi="Times New Roman"/>
          <w:sz w:val="24"/>
        </w:rPr>
        <w:t>ротокол</w:t>
      </w:r>
      <w:r>
        <w:rPr>
          <w:rFonts w:ascii="Times New Roman" w:hAnsi="Times New Roman"/>
          <w:sz w:val="24"/>
        </w:rPr>
        <w:t xml:space="preserve"> </w:t>
      </w:r>
      <w:r>
        <w:rPr>
          <w:rFonts w:ascii="Times New Roman" w:hAnsi="Times New Roman"/>
          <w:sz w:val="24"/>
        </w:rPr>
        <w:t>от</w:t>
      </w:r>
      <w:r>
        <w:rPr>
          <w:rFonts w:ascii="Times New Roman" w:hAnsi="Times New Roman"/>
          <w:sz w:val="24"/>
        </w:rPr>
        <w:t xml:space="preserve"> 22 </w:t>
      </w:r>
      <w:r>
        <w:rPr>
          <w:rFonts w:ascii="Times New Roman" w:hAnsi="Times New Roman"/>
          <w:sz w:val="24"/>
        </w:rPr>
        <w:t>декабря</w:t>
      </w:r>
      <w:r>
        <w:rPr>
          <w:rFonts w:ascii="Times New Roman" w:hAnsi="Times New Roman"/>
          <w:sz w:val="24"/>
        </w:rPr>
        <w:t xml:space="preserve"> 2015 г. № 4/15)</w:t>
      </w:r>
      <w:r>
        <w:rPr>
          <w:rFonts w:ascii="Times New Roman" w:hAnsi="Times New Roman"/>
          <w:sz w:val="24"/>
        </w:rPr>
        <w:t>;</w:t>
      </w:r>
    </w:p>
    <w:p w14:paraId="21000000">
      <w:pPr>
        <w:spacing w:after="0" w:line="240" w:lineRule="auto"/>
        <w:ind w:firstLine="567" w:left="0"/>
        <w:jc w:val="both"/>
        <w:rPr>
          <w:rFonts w:ascii="Times New Roman" w:hAnsi="Times New Roman"/>
          <w:i w:val="1"/>
          <w:sz w:val="24"/>
        </w:rPr>
      </w:pPr>
      <w:r>
        <w:rPr>
          <w:rFonts w:ascii="Times New Roman" w:hAnsi="Times New Roman"/>
          <w:i w:val="1"/>
          <w:sz w:val="24"/>
        </w:rPr>
        <w:t>Региональных:</w:t>
      </w:r>
    </w:p>
    <w:p w14:paraId="22000000">
      <w:pPr>
        <w:spacing w:after="0" w:line="240" w:lineRule="auto"/>
        <w:ind w:firstLine="567" w:left="0"/>
        <w:jc w:val="both"/>
        <w:rPr>
          <w:rFonts w:ascii="Times New Roman" w:hAnsi="Times New Roman"/>
          <w:sz w:val="24"/>
        </w:rPr>
      </w:pPr>
      <w:r>
        <w:rPr>
          <w:rFonts w:ascii="Times New Roman" w:hAnsi="Times New Roman"/>
          <w:sz w:val="24"/>
        </w:rPr>
        <w:t>- Конституции Республики Тыва (принята 06.05.2001 г.);</w:t>
      </w:r>
    </w:p>
    <w:p w14:paraId="23000000">
      <w:pPr>
        <w:spacing w:after="0" w:line="240" w:lineRule="auto"/>
        <w:ind w:firstLine="567" w:left="0"/>
        <w:jc w:val="both"/>
        <w:rPr>
          <w:rFonts w:ascii="Times New Roman" w:hAnsi="Times New Roman"/>
          <w:sz w:val="24"/>
        </w:rPr>
      </w:pPr>
      <w:r>
        <w:rPr>
          <w:rFonts w:ascii="Times New Roman" w:hAnsi="Times New Roman"/>
          <w:sz w:val="24"/>
        </w:rPr>
        <w:t>- Закона Республики Тыва от 21 июня 2014г. №2562 ВХ-</w:t>
      </w:r>
      <w:r>
        <w:rPr>
          <w:rFonts w:ascii="Times New Roman" w:hAnsi="Times New Roman"/>
          <w:sz w:val="24"/>
        </w:rPr>
        <w:t>I</w:t>
      </w:r>
      <w:r>
        <w:rPr>
          <w:rFonts w:ascii="Times New Roman" w:hAnsi="Times New Roman"/>
          <w:sz w:val="24"/>
        </w:rPr>
        <w:t xml:space="preserve"> «Об образовании в Республике Тыва»;</w:t>
      </w:r>
    </w:p>
    <w:p w14:paraId="24000000">
      <w:pPr>
        <w:spacing w:after="0" w:line="240" w:lineRule="auto"/>
        <w:ind w:firstLine="567" w:left="0"/>
        <w:jc w:val="both"/>
        <w:rPr>
          <w:rFonts w:ascii="Times New Roman" w:hAnsi="Times New Roman"/>
          <w:sz w:val="24"/>
        </w:rPr>
      </w:pPr>
      <w:r>
        <w:rPr>
          <w:rFonts w:ascii="Times New Roman" w:hAnsi="Times New Roman"/>
          <w:sz w:val="24"/>
        </w:rPr>
        <w:t>- Постановления Правительства Республики Тыва от 12 февраля 2019 года N 73 «Об утверждении Концепции духовно-нравственного развития и воспитания детей и молодежи Республики Тыва до 2025 года»;</w:t>
      </w:r>
    </w:p>
    <w:p w14:paraId="25000000">
      <w:pPr>
        <w:spacing w:after="0" w:line="240" w:lineRule="auto"/>
        <w:ind/>
        <w:jc w:val="both"/>
        <w:rPr>
          <w:rFonts w:ascii="Times New Roman" w:hAnsi="Times New Roman"/>
          <w:sz w:val="24"/>
        </w:rPr>
      </w:pPr>
      <w:r>
        <w:rPr>
          <w:rFonts w:ascii="Times New Roman" w:hAnsi="Times New Roman"/>
          <w:sz w:val="24"/>
        </w:rPr>
        <w:t>- Приказа Министерства образования и науки Республики Тыва от 23.06.2021 г. № 802-д «О формировании примерного календарного учебного графика образовательных организаций Республики Тыва, реализующих основные общеобразовательные программы, в 2021-2022 учебном году».</w:t>
      </w:r>
    </w:p>
    <w:p w14:paraId="26000000">
      <w:pPr>
        <w:spacing w:after="0" w:line="240" w:lineRule="auto"/>
        <w:ind/>
        <w:jc w:val="both"/>
        <w:rPr>
          <w:rFonts w:ascii="Times New Roman" w:hAnsi="Times New Roman"/>
          <w:sz w:val="24"/>
        </w:rPr>
      </w:pPr>
      <w:r>
        <w:rPr>
          <w:rFonts w:ascii="Times New Roman" w:hAnsi="Times New Roman"/>
          <w:sz w:val="24"/>
        </w:rPr>
        <w:t xml:space="preserve"> </w:t>
      </w:r>
      <w:r>
        <w:rPr>
          <w:rFonts w:ascii="Times New Roman" w:hAnsi="Times New Roman"/>
          <w:sz w:val="24"/>
        </w:rPr>
        <w:t>- устава МБОУ Шуйская СОШ;</w:t>
      </w:r>
    </w:p>
    <w:p w14:paraId="27000000">
      <w:pPr>
        <w:spacing w:after="0" w:line="240" w:lineRule="auto"/>
        <w:ind/>
        <w:jc w:val="both"/>
        <w:rPr>
          <w:rFonts w:ascii="Times New Roman" w:hAnsi="Times New Roman"/>
          <w:sz w:val="24"/>
        </w:rPr>
      </w:pPr>
      <w:r>
        <w:rPr>
          <w:rFonts w:ascii="Times New Roman" w:hAnsi="Times New Roman"/>
          <w:sz w:val="24"/>
        </w:rPr>
        <w:t>- приказом школы № 7 от 26.08.2021 г.</w:t>
      </w:r>
    </w:p>
    <w:p w14:paraId="28000000">
      <w:pPr>
        <w:pStyle w:val="Style_3"/>
        <w:ind/>
        <w:jc w:val="both"/>
        <w:rPr>
          <w:rFonts w:ascii="Times New Roman" w:hAnsi="Times New Roman"/>
          <w:sz w:val="24"/>
        </w:rPr>
      </w:pPr>
      <w:r>
        <w:rPr>
          <w:rFonts w:ascii="Times New Roman" w:hAnsi="Times New Roman"/>
          <w:sz w:val="24"/>
        </w:rPr>
        <w:t xml:space="preserve">1.3. Учебный план является частью образовательной программы школы. Школой разработан учебный план начального общего образования в соответствии с </w:t>
      </w:r>
      <w:r>
        <w:rPr>
          <w:rFonts w:ascii="Times New Roman" w:hAnsi="Times New Roman"/>
          <w:sz w:val="24"/>
          <w:u w:color="000000"/>
        </w:rPr>
        <w:t xml:space="preserve">ФГОС основного общего образования </w:t>
      </w:r>
      <w:r>
        <w:rPr>
          <w:rFonts w:ascii="Times New Roman" w:hAnsi="Times New Roman"/>
          <w:sz w:val="24"/>
        </w:rPr>
        <w:t>обучающихся с ограниченными возможностями здоровья, утвержденного приказом Министерства образования и науки Российской Федерации от 19.12.2014 № 1598</w:t>
      </w:r>
      <w:r>
        <w:rPr>
          <w:rFonts w:ascii="Times New Roman" w:hAnsi="Times New Roman"/>
          <w:sz w:val="24"/>
          <w:u w:color="000000"/>
        </w:rPr>
        <w:t xml:space="preserve">, основного  общего образования </w:t>
      </w:r>
      <w:r>
        <w:rPr>
          <w:rFonts w:ascii="Times New Roman" w:hAnsi="Times New Roman"/>
          <w:sz w:val="24"/>
        </w:rPr>
        <w:t>с учетом примерных основных образовательных программ начального общего, основного общего образования в соответствии с ФКГОС.</w:t>
      </w:r>
    </w:p>
    <w:p w14:paraId="29000000">
      <w:pPr>
        <w:pStyle w:val="Style_3"/>
        <w:ind w:firstLine="708" w:left="0"/>
        <w:jc w:val="both"/>
        <w:rPr>
          <w:rFonts w:ascii="Times New Roman" w:hAnsi="Times New Roman"/>
          <w:sz w:val="24"/>
        </w:rPr>
      </w:pPr>
      <w:r>
        <w:rPr>
          <w:rFonts w:ascii="Times New Roman" w:hAnsi="Times New Roman"/>
          <w:sz w:val="24"/>
        </w:rPr>
        <w:t>В переходный период до введения примерных адаптированных образовательных программ основного общего образования для обучающихся с ОВЗ, учитывая психофизические особенности обучающихся с ОВЗ, возможно использование федерального базисного учебного плана, утвержденного приказом Министерства образования Российской Федерации от 10.04.2002 № 29/2065-п «Об утверждении учебных планов специальных (коррекционных) образовательных учреждений для обучающихся, воспитанников с отклонениями в развитии» (далее - ФБУП-2002), в части, не противоречащей действующему</w:t>
      </w:r>
      <w:r>
        <w:rPr>
          <w:rFonts w:ascii="Times New Roman" w:hAnsi="Times New Roman"/>
          <w:sz w:val="24"/>
        </w:rPr>
        <w:t xml:space="preserve"> законодательству.</w:t>
      </w:r>
    </w:p>
    <w:p w14:paraId="2A000000">
      <w:pPr>
        <w:spacing w:after="0" w:line="240" w:lineRule="auto"/>
        <w:ind/>
        <w:jc w:val="both"/>
        <w:rPr>
          <w:rFonts w:ascii="Times New Roman" w:hAnsi="Times New Roman"/>
          <w:sz w:val="24"/>
        </w:rPr>
      </w:pPr>
      <w:r>
        <w:rPr>
          <w:rFonts w:ascii="Times New Roman" w:hAnsi="Times New Roman"/>
          <w:sz w:val="24"/>
        </w:rPr>
        <w:t>2. Учебный план определяет:</w:t>
      </w:r>
    </w:p>
    <w:p w14:paraId="2B000000">
      <w:pPr>
        <w:spacing w:after="0" w:line="240" w:lineRule="auto"/>
        <w:ind w:firstLine="720" w:left="0"/>
        <w:jc w:val="both"/>
        <w:rPr>
          <w:rFonts w:ascii="Times New Roman" w:hAnsi="Times New Roman"/>
          <w:sz w:val="24"/>
        </w:rPr>
      </w:pPr>
      <w:r>
        <w:rPr>
          <w:rFonts w:ascii="Times New Roman" w:hAnsi="Times New Roman"/>
          <w:sz w:val="24"/>
        </w:rPr>
        <w:t>- Перечень учебных предметов федерального компонента государственного стандарта общего образования, обязательных к изучению всеми обучающимися образовательного учреждения, реализующего основную образовательную программу общего образования;</w:t>
      </w:r>
    </w:p>
    <w:p w14:paraId="2C000000">
      <w:pPr>
        <w:spacing w:after="0" w:line="240" w:lineRule="auto"/>
        <w:ind w:firstLine="720" w:left="0"/>
        <w:jc w:val="both"/>
        <w:rPr>
          <w:rFonts w:ascii="Times New Roman" w:hAnsi="Times New Roman"/>
          <w:sz w:val="24"/>
        </w:rPr>
      </w:pPr>
      <w:r>
        <w:rPr>
          <w:rFonts w:ascii="Times New Roman" w:hAnsi="Times New Roman"/>
          <w:sz w:val="24"/>
        </w:rPr>
        <w:t xml:space="preserve">- Обязательный объем годовой учебной нагрузки </w:t>
      </w:r>
      <w:r>
        <w:rPr>
          <w:rFonts w:ascii="Times New Roman" w:hAnsi="Times New Roman"/>
          <w:sz w:val="24"/>
        </w:rPr>
        <w:t>обучающихся</w:t>
      </w:r>
      <w:r>
        <w:rPr>
          <w:rFonts w:ascii="Times New Roman" w:hAnsi="Times New Roman"/>
          <w:sz w:val="24"/>
        </w:rPr>
        <w:t xml:space="preserve"> по всем классам;</w:t>
      </w:r>
    </w:p>
    <w:p w14:paraId="2D000000">
      <w:pPr>
        <w:spacing w:after="0" w:line="240" w:lineRule="auto"/>
        <w:ind w:firstLine="720" w:left="0"/>
        <w:jc w:val="both"/>
        <w:rPr>
          <w:rFonts w:ascii="Times New Roman" w:hAnsi="Times New Roman"/>
          <w:sz w:val="24"/>
        </w:rPr>
      </w:pPr>
      <w:r>
        <w:rPr>
          <w:rFonts w:ascii="Times New Roman" w:hAnsi="Times New Roman"/>
          <w:sz w:val="24"/>
        </w:rPr>
        <w:t>- Учебное время, рекомендуемое на освоение федерального компонента государственного стандарта общего образования по каждому учебному предмету в каждом классе, при этом в индивидуальных учебных планах количество часов, определенное на изучение каждого предмета, может быть меньше либо больше количества часов предусмотренного учебным планом на изучение этих предметов;</w:t>
      </w:r>
    </w:p>
    <w:p w14:paraId="2E000000">
      <w:pPr>
        <w:spacing w:after="0" w:line="240" w:lineRule="auto"/>
        <w:ind w:firstLine="720" w:left="0"/>
        <w:jc w:val="both"/>
        <w:rPr>
          <w:rFonts w:ascii="Times New Roman" w:hAnsi="Times New Roman"/>
          <w:sz w:val="24"/>
        </w:rPr>
      </w:pPr>
      <w:r>
        <w:rPr>
          <w:rFonts w:ascii="Times New Roman" w:hAnsi="Times New Roman"/>
          <w:sz w:val="24"/>
        </w:rPr>
        <w:t>В учебном плане дается недельное распределение часов из расчета для 1 классов – на 33 учебные недели,  2-11 классов – на 34 учебные недели, что дает возможность перераспределять учебную нагрузку в течение учебного года, строить учебный план на принципах дифференциации и вариативности.</w:t>
      </w:r>
    </w:p>
    <w:p w14:paraId="2F000000">
      <w:pPr>
        <w:spacing w:after="0" w:line="240" w:lineRule="auto"/>
        <w:ind w:firstLine="720" w:left="0"/>
        <w:jc w:val="both"/>
        <w:rPr>
          <w:rFonts w:ascii="Times New Roman" w:hAnsi="Times New Roman"/>
          <w:sz w:val="24"/>
        </w:rPr>
      </w:pPr>
      <w:r>
        <w:rPr>
          <w:rFonts w:ascii="Times New Roman" w:hAnsi="Times New Roman"/>
          <w:sz w:val="24"/>
        </w:rPr>
        <w:t xml:space="preserve">Выполнение федерального компонента государственного стандарта общего образования при обучении на дому достигается посредством уменьшения количества учебного времени, предусмотренного на изучение отдельных модулей, разделов и тем </w:t>
      </w:r>
    </w:p>
    <w:p w14:paraId="30000000">
      <w:pPr>
        <w:spacing w:after="0" w:line="240" w:lineRule="auto"/>
        <w:ind/>
        <w:jc w:val="both"/>
        <w:rPr>
          <w:rFonts w:ascii="Times New Roman" w:hAnsi="Times New Roman"/>
          <w:sz w:val="24"/>
        </w:rPr>
      </w:pPr>
      <w:r>
        <w:rPr>
          <w:rFonts w:ascii="Times New Roman" w:hAnsi="Times New Roman"/>
          <w:sz w:val="24"/>
        </w:rPr>
        <w:t xml:space="preserve">учебных программ в рамках каждого учебного предмета, в соответствии с возможностями школы, целесообразностью, а также исходя из индивидуальных психофизических особенностей, образовательных потребностей, медицинских показаний и уровня </w:t>
      </w:r>
      <w:r>
        <w:rPr>
          <w:rFonts w:ascii="Times New Roman" w:hAnsi="Times New Roman"/>
          <w:sz w:val="24"/>
        </w:rPr>
        <w:t>подготовки</w:t>
      </w:r>
      <w:r>
        <w:rPr>
          <w:rFonts w:ascii="Times New Roman" w:hAnsi="Times New Roman"/>
          <w:sz w:val="24"/>
        </w:rPr>
        <w:t xml:space="preserve"> обучающихся и регламентируется рабочими программами учебных курсов, дисциплин, разработанными и утвержденными ОУ самостоятельно.</w:t>
      </w:r>
    </w:p>
    <w:p w14:paraId="31000000">
      <w:pPr>
        <w:spacing w:after="0" w:line="240" w:lineRule="auto"/>
        <w:ind/>
        <w:jc w:val="both"/>
        <w:rPr>
          <w:rFonts w:ascii="Times New Roman" w:hAnsi="Times New Roman"/>
          <w:sz w:val="24"/>
        </w:rPr>
      </w:pPr>
      <w:r>
        <w:rPr>
          <w:rFonts w:ascii="Times New Roman" w:hAnsi="Times New Roman"/>
          <w:sz w:val="24"/>
        </w:rPr>
        <w:t xml:space="preserve">      </w:t>
      </w:r>
      <w:r>
        <w:rPr>
          <w:rFonts w:ascii="Times New Roman" w:hAnsi="Times New Roman"/>
          <w:sz w:val="24"/>
        </w:rPr>
        <w:t>3. Особенности учебного плана.</w:t>
      </w:r>
    </w:p>
    <w:p w14:paraId="32000000">
      <w:pPr>
        <w:spacing w:after="0" w:line="240" w:lineRule="auto"/>
        <w:ind/>
        <w:jc w:val="both"/>
        <w:rPr>
          <w:rFonts w:ascii="Times New Roman" w:hAnsi="Times New Roman"/>
          <w:sz w:val="24"/>
        </w:rPr>
      </w:pPr>
      <w:r>
        <w:rPr>
          <w:rFonts w:ascii="Times New Roman" w:hAnsi="Times New Roman"/>
          <w:sz w:val="24"/>
        </w:rPr>
        <w:t>- Перечень учебных программ, реализуемых в рамках индивидуального учебного плана, определяется и утверждается ОУ самостоятельно;</w:t>
      </w:r>
    </w:p>
    <w:p w14:paraId="33000000">
      <w:pPr>
        <w:spacing w:after="0" w:line="240" w:lineRule="auto"/>
        <w:ind/>
        <w:jc w:val="both"/>
        <w:rPr>
          <w:rFonts w:ascii="Times New Roman" w:hAnsi="Times New Roman"/>
          <w:sz w:val="24"/>
        </w:rPr>
      </w:pPr>
      <w:r>
        <w:rPr>
          <w:rFonts w:ascii="Times New Roman" w:hAnsi="Times New Roman"/>
          <w:sz w:val="24"/>
        </w:rPr>
        <w:t>- Объем учебного времени и реализация содержания каждого учебного предмета федерального компонента государственного образовательного стандарта общего образования определяются программами по учебным предметам федерального базисного учебного плана для образовательных учреждений Российской Федерации, реализующих программы общего образования, утвержденные и рекомендованные к использованию в установленном законодательством РФ порядке.</w:t>
      </w:r>
      <w:r>
        <w:rPr>
          <w:rFonts w:ascii="Times New Roman" w:hAnsi="Times New Roman"/>
          <w:sz w:val="24"/>
        </w:rPr>
        <w:t xml:space="preserve"> Учебные предметы должны изучаться по соответствующим программам, обеспечивающим реализацию федерального компонента государственного стандарта общего образования, адаптированным к изучению в сокращенном объеме. Сокращение учебного материала регламентируется рабочей программой учебного курса, дисциплины;</w:t>
      </w:r>
    </w:p>
    <w:p w14:paraId="34000000">
      <w:pPr>
        <w:spacing w:after="0" w:line="240" w:lineRule="auto"/>
        <w:ind/>
        <w:jc w:val="both"/>
        <w:rPr>
          <w:rFonts w:ascii="Times New Roman" w:hAnsi="Times New Roman"/>
          <w:sz w:val="24"/>
        </w:rPr>
      </w:pPr>
      <w:r>
        <w:rPr>
          <w:rFonts w:ascii="Times New Roman" w:hAnsi="Times New Roman"/>
          <w:sz w:val="24"/>
        </w:rPr>
        <w:t>- При реализации учебного плана обязательно соблюдение принципа линейности и преемственности изучения программ общего образования одного уровня.</w:t>
      </w:r>
    </w:p>
    <w:p w14:paraId="35000000">
      <w:pPr>
        <w:spacing w:after="0" w:line="240" w:lineRule="auto"/>
        <w:ind/>
        <w:jc w:val="both"/>
        <w:rPr>
          <w:rFonts w:ascii="Times New Roman" w:hAnsi="Times New Roman"/>
          <w:sz w:val="24"/>
        </w:rPr>
      </w:pPr>
      <w:r>
        <w:rPr>
          <w:rFonts w:ascii="Times New Roman" w:hAnsi="Times New Roman"/>
          <w:sz w:val="24"/>
        </w:rPr>
        <w:t xml:space="preserve">           </w:t>
      </w:r>
      <w:r>
        <w:rPr>
          <w:rFonts w:ascii="Times New Roman" w:hAnsi="Times New Roman"/>
          <w:sz w:val="24"/>
        </w:rPr>
        <w:t>4.  Организация образовательного процесса обучения на дому.</w:t>
      </w:r>
    </w:p>
    <w:p w14:paraId="36000000">
      <w:pPr>
        <w:spacing w:after="0" w:line="240" w:lineRule="auto"/>
        <w:ind/>
        <w:jc w:val="both"/>
        <w:rPr>
          <w:rFonts w:ascii="Times New Roman" w:hAnsi="Times New Roman"/>
          <w:sz w:val="24"/>
        </w:rPr>
      </w:pPr>
      <w:r>
        <w:rPr>
          <w:rFonts w:ascii="Times New Roman" w:hAnsi="Times New Roman"/>
          <w:sz w:val="24"/>
        </w:rPr>
        <w:t>- Организация образовательного процесса для обучающихся, по состоянию здоровья временно или постоянно не посещающих школу, регламентируется учебным планом обучения на дому, расписанием занятий для конкретного обучающегося, которые утверждаются директором школы;</w:t>
      </w:r>
    </w:p>
    <w:p w14:paraId="37000000">
      <w:pPr>
        <w:spacing w:after="0" w:line="240" w:lineRule="auto"/>
        <w:ind/>
        <w:jc w:val="both"/>
        <w:rPr>
          <w:rFonts w:ascii="Times New Roman" w:hAnsi="Times New Roman"/>
          <w:sz w:val="24"/>
        </w:rPr>
      </w:pPr>
      <w:r>
        <w:rPr>
          <w:rFonts w:ascii="Times New Roman" w:hAnsi="Times New Roman"/>
          <w:sz w:val="24"/>
        </w:rPr>
        <w:t>- Школа самостоятельно определяет продолжительность учебной недели и может изменять ее в течение учебного года;</w:t>
      </w:r>
    </w:p>
    <w:p w14:paraId="38000000">
      <w:pPr>
        <w:spacing w:after="0" w:line="240" w:lineRule="auto"/>
        <w:ind/>
        <w:jc w:val="both"/>
        <w:rPr>
          <w:rFonts w:ascii="Times New Roman" w:hAnsi="Times New Roman"/>
          <w:sz w:val="24"/>
        </w:rPr>
      </w:pPr>
      <w:r>
        <w:rPr>
          <w:rFonts w:ascii="Times New Roman" w:hAnsi="Times New Roman"/>
          <w:sz w:val="24"/>
        </w:rPr>
        <w:t>- Реализация образовательных программ осуществляется с учетом характера течения заболевания ребенка, медицинских показаний и рекомендаций;</w:t>
      </w:r>
    </w:p>
    <w:p w14:paraId="39000000">
      <w:pPr>
        <w:spacing w:after="0" w:line="240" w:lineRule="auto"/>
        <w:ind/>
        <w:jc w:val="both"/>
        <w:rPr>
          <w:rFonts w:ascii="Times New Roman" w:hAnsi="Times New Roman"/>
          <w:sz w:val="24"/>
        </w:rPr>
      </w:pPr>
      <w:r>
        <w:rPr>
          <w:rFonts w:ascii="Times New Roman" w:hAnsi="Times New Roman"/>
          <w:sz w:val="24"/>
        </w:rPr>
        <w:t>- Формы обучения и объем учебной нагрузки обучающегося могут варьироваться в зависимости от индивидуальных психофизических особенностей, образовательных потребностей, медицинских показаний и уровня подготовки обучающихся;</w:t>
      </w:r>
    </w:p>
    <w:p w14:paraId="3A000000">
      <w:pPr>
        <w:spacing w:after="0" w:line="240" w:lineRule="auto"/>
        <w:ind/>
        <w:jc w:val="both"/>
        <w:rPr>
          <w:rFonts w:ascii="Times New Roman" w:hAnsi="Times New Roman"/>
          <w:sz w:val="24"/>
        </w:rPr>
      </w:pPr>
      <w:r>
        <w:rPr>
          <w:rFonts w:ascii="Times New Roman" w:hAnsi="Times New Roman"/>
          <w:sz w:val="24"/>
        </w:rPr>
        <w:t>- Для обучающихся, состояние которых допускает возможность периодического посещения ими образовательного учреждения, наряду с обучением на дому могут быть организованы занятия в школе (в классе или в малых группах);</w:t>
      </w:r>
    </w:p>
    <w:p w14:paraId="3B000000">
      <w:pPr>
        <w:spacing w:after="0" w:line="240" w:lineRule="auto"/>
        <w:ind/>
        <w:jc w:val="both"/>
        <w:rPr>
          <w:rFonts w:ascii="Times New Roman" w:hAnsi="Times New Roman"/>
          <w:sz w:val="24"/>
        </w:rPr>
      </w:pPr>
      <w:r>
        <w:rPr>
          <w:rFonts w:ascii="Times New Roman" w:hAnsi="Times New Roman"/>
          <w:sz w:val="24"/>
        </w:rPr>
        <w:t>- При наличии возможности школа обеспечивает участие обучающихся на дому в воспитательных, культурно-развлекательных, спортивно-оздоровительных и иных досуговых мероприятиях.</w:t>
      </w:r>
    </w:p>
    <w:p w14:paraId="3C000000">
      <w:pPr>
        <w:spacing w:after="0" w:line="240" w:lineRule="auto"/>
        <w:ind w:firstLine="0" w:left="1080"/>
        <w:jc w:val="both"/>
        <w:rPr>
          <w:rFonts w:ascii="Times New Roman" w:hAnsi="Times New Roman"/>
          <w:sz w:val="24"/>
        </w:rPr>
      </w:pPr>
      <w:r>
        <w:rPr>
          <w:rFonts w:ascii="Times New Roman" w:hAnsi="Times New Roman"/>
          <w:sz w:val="24"/>
        </w:rPr>
        <w:t>5. Структура учебного плана.</w:t>
      </w:r>
    </w:p>
    <w:p w14:paraId="3D000000">
      <w:pPr>
        <w:spacing w:after="0" w:line="240" w:lineRule="auto"/>
        <w:ind/>
        <w:jc w:val="both"/>
        <w:rPr>
          <w:rFonts w:ascii="Times New Roman" w:hAnsi="Times New Roman"/>
          <w:sz w:val="24"/>
        </w:rPr>
      </w:pPr>
      <w:r>
        <w:rPr>
          <w:rFonts w:ascii="Times New Roman" w:hAnsi="Times New Roman"/>
          <w:sz w:val="24"/>
        </w:rPr>
        <w:t xml:space="preserve">           В МБОУ</w:t>
      </w:r>
      <w:r>
        <w:rPr>
          <w:sz w:val="24"/>
        </w:rPr>
        <w:t xml:space="preserve"> </w:t>
      </w:r>
      <w:r>
        <w:rPr>
          <w:rFonts w:ascii="Times New Roman" w:hAnsi="Times New Roman"/>
          <w:sz w:val="24"/>
        </w:rPr>
        <w:t>Кызыл-Дагская</w:t>
      </w:r>
      <w:r>
        <w:rPr>
          <w:sz w:val="24"/>
        </w:rPr>
        <w:t xml:space="preserve"> </w:t>
      </w:r>
      <w:r>
        <w:rPr>
          <w:rFonts w:ascii="Times New Roman" w:hAnsi="Times New Roman"/>
          <w:sz w:val="24"/>
        </w:rPr>
        <w:t>СОШ  определен учебный план для каждого обучающегося на дому из расчета не менее:</w:t>
      </w:r>
    </w:p>
    <w:p w14:paraId="3E000000">
      <w:pPr>
        <w:spacing w:after="0" w:line="240" w:lineRule="auto"/>
        <w:ind/>
        <w:jc w:val="both"/>
        <w:rPr>
          <w:rFonts w:ascii="Times New Roman" w:hAnsi="Times New Roman"/>
          <w:sz w:val="24"/>
        </w:rPr>
      </w:pPr>
      <w:r>
        <w:rPr>
          <w:rFonts w:ascii="Times New Roman" w:hAnsi="Times New Roman"/>
          <w:sz w:val="24"/>
        </w:rPr>
        <w:t>в 3-4 классах – 10 часов в неделю;</w:t>
      </w:r>
    </w:p>
    <w:p w14:paraId="3F000000">
      <w:pPr>
        <w:spacing w:after="0" w:line="240" w:lineRule="auto"/>
        <w:ind/>
        <w:jc w:val="both"/>
        <w:rPr>
          <w:rFonts w:ascii="Times New Roman" w:hAnsi="Times New Roman"/>
          <w:sz w:val="24"/>
        </w:rPr>
      </w:pPr>
      <w:r>
        <w:rPr>
          <w:rFonts w:ascii="Times New Roman" w:hAnsi="Times New Roman"/>
          <w:sz w:val="24"/>
        </w:rPr>
        <w:t>в 11</w:t>
      </w:r>
      <w:r>
        <w:rPr>
          <w:rFonts w:ascii="Times New Roman" w:hAnsi="Times New Roman"/>
          <w:sz w:val="24"/>
        </w:rPr>
        <w:t xml:space="preserve"> кл</w:t>
      </w:r>
      <w:r>
        <w:rPr>
          <w:rFonts w:ascii="Times New Roman" w:hAnsi="Times New Roman"/>
          <w:sz w:val="24"/>
        </w:rPr>
        <w:t>ассе</w:t>
      </w:r>
      <w:r>
        <w:rPr>
          <w:rFonts w:ascii="Times New Roman" w:hAnsi="Times New Roman"/>
          <w:sz w:val="24"/>
        </w:rPr>
        <w:t xml:space="preserve"> – 13 часов в неделю;</w:t>
      </w:r>
    </w:p>
    <w:p w14:paraId="40000000">
      <w:pPr>
        <w:spacing w:after="0" w:line="240" w:lineRule="auto"/>
        <w:ind/>
        <w:jc w:val="both"/>
        <w:rPr>
          <w:rFonts w:ascii="Times New Roman" w:hAnsi="Times New Roman"/>
          <w:sz w:val="24"/>
        </w:rPr>
      </w:pPr>
      <w:r>
        <w:rPr>
          <w:rFonts w:ascii="Times New Roman" w:hAnsi="Times New Roman"/>
          <w:sz w:val="24"/>
        </w:rPr>
        <w:t xml:space="preserve">           Право распределения часов по учебным дисциплинам предоставляется образовательному учреждению с учетом индивидуальных психофизических особенностей, интересов детей, медицинских рекомендаций.</w:t>
      </w:r>
    </w:p>
    <w:p w14:paraId="41000000">
      <w:pPr>
        <w:spacing w:after="0" w:line="240" w:lineRule="auto"/>
        <w:ind/>
        <w:jc w:val="both"/>
        <w:rPr>
          <w:rFonts w:ascii="Times New Roman" w:hAnsi="Times New Roman"/>
          <w:sz w:val="24"/>
        </w:rPr>
      </w:pPr>
      <w:r>
        <w:rPr>
          <w:rFonts w:ascii="Times New Roman" w:hAnsi="Times New Roman"/>
          <w:sz w:val="24"/>
        </w:rPr>
        <w:t xml:space="preserve">          При составлении учебного плана обучения на дому соблюдается преемственность в распределении часов по классам и ступеням обучения.</w:t>
      </w:r>
    </w:p>
    <w:p w14:paraId="42000000">
      <w:pPr>
        <w:spacing w:after="0" w:line="240" w:lineRule="auto"/>
        <w:ind/>
        <w:jc w:val="both"/>
        <w:rPr>
          <w:rFonts w:ascii="Times New Roman" w:hAnsi="Times New Roman"/>
          <w:sz w:val="24"/>
        </w:rPr>
      </w:pPr>
      <w:r>
        <w:rPr>
          <w:rFonts w:ascii="Times New Roman" w:hAnsi="Times New Roman"/>
          <w:sz w:val="24"/>
        </w:rPr>
        <w:t xml:space="preserve">          Названия учебных предметов в расписании соответствуют учебному плану. </w:t>
      </w:r>
    </w:p>
    <w:p w14:paraId="43000000">
      <w:pPr>
        <w:spacing w:after="0" w:line="240" w:lineRule="auto"/>
        <w:ind/>
        <w:jc w:val="both"/>
        <w:rPr>
          <w:rFonts w:ascii="Times New Roman" w:hAnsi="Times New Roman"/>
          <w:sz w:val="24"/>
        </w:rPr>
      </w:pPr>
      <w:r>
        <w:rPr>
          <w:rFonts w:ascii="Times New Roman" w:hAnsi="Times New Roman"/>
          <w:sz w:val="24"/>
        </w:rPr>
        <w:t xml:space="preserve">          Количество часов на изучение учебных предметов соответствует количеству часов в учебном плане.</w:t>
      </w:r>
    </w:p>
    <w:p w14:paraId="44000000">
      <w:pPr>
        <w:spacing w:after="0" w:line="240" w:lineRule="auto"/>
        <w:ind/>
        <w:jc w:val="both"/>
        <w:rPr>
          <w:rFonts w:ascii="Times New Roman" w:hAnsi="Times New Roman"/>
          <w:sz w:val="24"/>
        </w:rPr>
      </w:pPr>
      <w:r>
        <w:rPr>
          <w:rFonts w:ascii="Times New Roman" w:hAnsi="Times New Roman"/>
          <w:sz w:val="24"/>
        </w:rPr>
        <w:t xml:space="preserve">           Таким образом, учебный план МБОУ </w:t>
      </w:r>
      <w:r>
        <w:rPr>
          <w:rFonts w:ascii="Times New Roman" w:hAnsi="Times New Roman"/>
          <w:sz w:val="24"/>
        </w:rPr>
        <w:t>Кызыл-Дагская</w:t>
      </w:r>
      <w:r>
        <w:rPr>
          <w:rFonts w:ascii="Times New Roman" w:hAnsi="Times New Roman"/>
          <w:sz w:val="24"/>
        </w:rPr>
        <w:t xml:space="preserve"> СОШ обучения на дому полностью реализует обеспечение базового уровня изучения обязательных предметов Федерального базисного учебного плана для общеобразовательных учреждений.</w:t>
      </w:r>
    </w:p>
    <w:p w14:paraId="45000000">
      <w:pPr>
        <w:tabs>
          <w:tab w:leader="none" w:pos="3570" w:val="left"/>
        </w:tabs>
        <w:spacing w:after="0"/>
        <w:ind/>
        <w:rPr>
          <w:rFonts w:ascii="Times New Roman" w:hAnsi="Times New Roman"/>
          <w:sz w:val="24"/>
        </w:rPr>
      </w:pPr>
      <w:r>
        <w:rPr>
          <w:rFonts w:ascii="Times New Roman" w:hAnsi="Times New Roman"/>
          <w:sz w:val="24"/>
        </w:rPr>
        <w:tab/>
      </w:r>
    </w:p>
    <w:p w14:paraId="46000000">
      <w:pPr>
        <w:tabs>
          <w:tab w:leader="none" w:pos="3570" w:val="left"/>
        </w:tabs>
        <w:spacing w:after="0"/>
        <w:ind/>
        <w:jc w:val="right"/>
        <w:rPr>
          <w:rFonts w:ascii="Times New Roman" w:hAnsi="Times New Roman"/>
          <w:sz w:val="24"/>
        </w:rPr>
      </w:pPr>
      <w:r>
        <w:rPr>
          <w:rFonts w:ascii="Times New Roman" w:hAnsi="Times New Roman"/>
          <w:sz w:val="24"/>
        </w:rPr>
        <w:t xml:space="preserve"> </w:t>
      </w:r>
    </w:p>
    <w:p w14:paraId="47000000">
      <w:pPr>
        <w:tabs>
          <w:tab w:leader="none" w:pos="3570" w:val="left"/>
        </w:tabs>
        <w:spacing w:after="0"/>
        <w:ind/>
        <w:jc w:val="right"/>
        <w:rPr>
          <w:rFonts w:ascii="Times New Roman" w:hAnsi="Times New Roman"/>
          <w:sz w:val="24"/>
        </w:rPr>
      </w:pPr>
    </w:p>
    <w:p w14:paraId="48000000">
      <w:pPr>
        <w:spacing w:after="0" w:line="240" w:lineRule="auto"/>
        <w:ind/>
        <w:contextualSpacing w:val="1"/>
        <w:jc w:val="center"/>
        <w:rPr>
          <w:rFonts w:ascii="Times New Roman" w:hAnsi="Times New Roman"/>
          <w:sz w:val="24"/>
        </w:rPr>
      </w:pPr>
    </w:p>
    <w:p w14:paraId="49000000">
      <w:pPr>
        <w:pStyle w:val="Style_4"/>
        <w:spacing w:after="0" w:before="0"/>
        <w:ind/>
        <w:jc w:val="right"/>
        <w:rPr>
          <w:color w:val="000000"/>
          <w:sz w:val="22"/>
        </w:rPr>
      </w:pPr>
      <w:r>
        <w:rPr>
          <w:color w:val="000000"/>
          <w:sz w:val="22"/>
        </w:rPr>
        <w:t>Приложение</w:t>
      </w:r>
      <w:r>
        <w:rPr>
          <w:color w:val="000000"/>
          <w:sz w:val="22"/>
        </w:rPr>
        <w:t xml:space="preserve"> №1</w:t>
      </w:r>
    </w:p>
    <w:p w14:paraId="4A000000">
      <w:pPr>
        <w:pStyle w:val="Style_4"/>
        <w:spacing w:after="0" w:before="0"/>
        <w:ind/>
        <w:jc w:val="right"/>
        <w:rPr>
          <w:color w:val="000000"/>
          <w:sz w:val="22"/>
        </w:rPr>
      </w:pPr>
      <w:r>
        <w:rPr>
          <w:color w:val="000000"/>
          <w:sz w:val="22"/>
        </w:rPr>
        <w:t xml:space="preserve"> к приказу № 48/2 о.д.</w:t>
      </w:r>
    </w:p>
    <w:p w14:paraId="4B000000">
      <w:pPr>
        <w:pStyle w:val="Style_4"/>
        <w:spacing w:after="0" w:before="0"/>
        <w:ind/>
        <w:jc w:val="right"/>
        <w:rPr>
          <w:color w:val="000000"/>
          <w:sz w:val="22"/>
        </w:rPr>
      </w:pPr>
      <w:r>
        <w:rPr>
          <w:color w:val="000000"/>
          <w:sz w:val="22"/>
        </w:rPr>
        <w:t>от 26</w:t>
      </w:r>
      <w:r>
        <w:rPr>
          <w:color w:val="000000"/>
          <w:sz w:val="22"/>
        </w:rPr>
        <w:t>.08.2021 г</w:t>
      </w:r>
    </w:p>
    <w:p w14:paraId="4C000000">
      <w:pPr>
        <w:spacing w:after="0" w:line="240" w:lineRule="auto"/>
        <w:ind/>
        <w:contextualSpacing w:val="1"/>
        <w:jc w:val="right"/>
        <w:rPr>
          <w:rFonts w:ascii="Times New Roman" w:hAnsi="Times New Roman"/>
          <w:b w:val="1"/>
        </w:rPr>
      </w:pPr>
    </w:p>
    <w:p w14:paraId="4D000000">
      <w:pPr>
        <w:spacing w:after="0" w:line="240" w:lineRule="auto"/>
        <w:ind/>
        <w:contextualSpacing w:val="1"/>
        <w:jc w:val="right"/>
        <w:rPr>
          <w:rFonts w:ascii="Times New Roman" w:hAnsi="Times New Roman"/>
          <w:b w:val="1"/>
        </w:rPr>
      </w:pPr>
    </w:p>
    <w:p w14:paraId="4E000000">
      <w:pPr>
        <w:ind/>
        <w:jc w:val="center"/>
        <w:rPr>
          <w:rFonts w:ascii="Times New Roman" w:hAnsi="Times New Roman"/>
          <w:b w:val="1"/>
        </w:rPr>
      </w:pPr>
      <w:r>
        <w:rPr>
          <w:rFonts w:ascii="Times New Roman" w:hAnsi="Times New Roman"/>
          <w:b w:val="1"/>
        </w:rPr>
        <w:t>Индивидуальный учебный план  для учащейся</w:t>
      </w:r>
    </w:p>
    <w:p w14:paraId="4F000000">
      <w:pPr>
        <w:ind/>
        <w:jc w:val="center"/>
        <w:rPr>
          <w:rFonts w:ascii="Times New Roman" w:hAnsi="Times New Roman"/>
          <w:b w:val="1"/>
        </w:rPr>
      </w:pPr>
      <w:r>
        <w:rPr>
          <w:rFonts w:ascii="Times New Roman" w:hAnsi="Times New Roman"/>
          <w:b w:val="1"/>
        </w:rPr>
        <w:t>Догбал</w:t>
      </w:r>
      <w:r>
        <w:rPr>
          <w:rFonts w:ascii="Times New Roman" w:hAnsi="Times New Roman"/>
          <w:b w:val="1"/>
        </w:rPr>
        <w:t xml:space="preserve"> </w:t>
      </w:r>
      <w:r>
        <w:rPr>
          <w:rFonts w:ascii="Times New Roman" w:hAnsi="Times New Roman"/>
          <w:b w:val="1"/>
        </w:rPr>
        <w:t>ЯнджимааАнгыр-ооловны</w:t>
      </w:r>
    </w:p>
    <w:p w14:paraId="50000000">
      <w:pPr>
        <w:ind/>
        <w:jc w:val="center"/>
        <w:rPr>
          <w:rFonts w:ascii="Times New Roman" w:hAnsi="Times New Roman"/>
          <w:b w:val="1"/>
        </w:rPr>
      </w:pPr>
      <w:r>
        <w:rPr>
          <w:rFonts w:ascii="Times New Roman" w:hAnsi="Times New Roman"/>
          <w:b w:val="1"/>
        </w:rPr>
        <w:t>3 класса по коррекционной программе (вариант 6.1)</w:t>
      </w:r>
    </w:p>
    <w:p w14:paraId="51000000">
      <w:pPr>
        <w:ind/>
        <w:jc w:val="center"/>
        <w:rPr>
          <w:rFonts w:ascii="Times New Roman" w:hAnsi="Times New Roman"/>
          <w:b w:val="1"/>
        </w:rPr>
      </w:pPr>
      <w:r>
        <w:rPr>
          <w:rFonts w:ascii="Times New Roman" w:hAnsi="Times New Roman"/>
          <w:b w:val="1"/>
        </w:rPr>
        <w:t xml:space="preserve">МБОУ </w:t>
      </w:r>
      <w:r>
        <w:rPr>
          <w:rFonts w:ascii="Times New Roman" w:hAnsi="Times New Roman"/>
          <w:b w:val="1"/>
        </w:rPr>
        <w:t>Кызыл-Дагская</w:t>
      </w:r>
      <w:r>
        <w:rPr>
          <w:rFonts w:ascii="Times New Roman" w:hAnsi="Times New Roman"/>
          <w:b w:val="1"/>
        </w:rPr>
        <w:t xml:space="preserve"> СОШ на 2020-2021 учебный год</w:t>
      </w:r>
    </w:p>
    <w:tbl>
      <w:tblPr>
        <w:tblStyle w:val="Style_5"/>
        <w:tblBorders>
          <w:top w:color="000000" w:sz="4" w:val="single"/>
          <w:left w:color="000000" w:sz="4" w:val="single"/>
          <w:bottom w:color="000000" w:sz="4" w:val="single"/>
          <w:right w:color="000000" w:sz="4" w:val="single"/>
          <w:insideH w:color="000000" w:sz="4" w:val="single"/>
          <w:insideV w:color="000000" w:sz="4" w:val="single"/>
        </w:tblBorders>
      </w:tblPr>
      <w:tblGrid>
        <w:gridCol w:w="2182"/>
        <w:gridCol w:w="2956"/>
        <w:gridCol w:w="1492"/>
        <w:gridCol w:w="1468"/>
        <w:gridCol w:w="1238"/>
      </w:tblGrid>
      <w:tr>
        <w:trPr>
          <w:trHeight w:hRule="atLeast" w:val="428"/>
        </w:trPr>
        <w:tc>
          <w:tcPr>
            <w:tcW w:type="dxa" w:w="2182"/>
            <w:vMerge w:val="restart"/>
          </w:tcPr>
          <w:p w14:paraId="52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Предметные области</w:t>
            </w:r>
          </w:p>
        </w:tc>
        <w:tc>
          <w:tcPr>
            <w:tcW w:type="dxa" w:w="2956"/>
            <w:vMerge w:val="restart"/>
          </w:tcPr>
          <w:p w14:paraId="53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Учебные</w:t>
            </w:r>
          </w:p>
          <w:p w14:paraId="54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предметы/</w:t>
            </w:r>
            <w:r>
              <w:rPr>
                <w:rFonts w:ascii="Times New Roman" w:hAnsi="Times New Roman"/>
                <w:sz w:val="24"/>
              </w:rPr>
              <w:t>Классы</w:t>
            </w:r>
          </w:p>
        </w:tc>
        <w:tc>
          <w:tcPr>
            <w:tcW w:type="dxa" w:w="2960"/>
            <w:gridSpan w:val="2"/>
          </w:tcPr>
          <w:p w14:paraId="55000000">
            <w:pPr>
              <w:tabs>
                <w:tab w:leader="none" w:pos="4500" w:val="left"/>
                <w:tab w:leader="none" w:pos="9180" w:val="left"/>
                <w:tab w:leader="none" w:pos="9360" w:val="left"/>
              </w:tabs>
              <w:spacing w:after="0" w:line="240" w:lineRule="auto"/>
              <w:ind w:firstLine="20" w:left="0"/>
              <w:contextualSpacing w:val="1"/>
              <w:jc w:val="both"/>
              <w:rPr>
                <w:rFonts w:ascii="Times New Roman" w:hAnsi="Times New Roman"/>
                <w:sz w:val="24"/>
              </w:rPr>
            </w:pPr>
            <w:r>
              <w:rPr>
                <w:rFonts w:ascii="Times New Roman" w:hAnsi="Times New Roman"/>
                <w:sz w:val="24"/>
              </w:rPr>
              <w:t>3 класс</w:t>
            </w:r>
          </w:p>
        </w:tc>
        <w:tc>
          <w:tcPr>
            <w:tcW w:type="dxa" w:w="1238"/>
            <w:vMerge w:val="restart"/>
          </w:tcPr>
          <w:p w14:paraId="56000000">
            <w:pPr>
              <w:tabs>
                <w:tab w:leader="none" w:pos="4500" w:val="left"/>
                <w:tab w:leader="none" w:pos="9180" w:val="left"/>
                <w:tab w:leader="none" w:pos="9360" w:val="left"/>
              </w:tabs>
              <w:spacing w:after="0" w:line="240" w:lineRule="auto"/>
              <w:ind w:firstLine="20" w:left="0"/>
              <w:contextualSpacing w:val="1"/>
              <w:jc w:val="both"/>
              <w:rPr>
                <w:rFonts w:ascii="Times New Roman" w:hAnsi="Times New Roman"/>
                <w:sz w:val="24"/>
              </w:rPr>
            </w:pPr>
            <w:r>
              <w:rPr>
                <w:rFonts w:ascii="Times New Roman" w:hAnsi="Times New Roman"/>
                <w:sz w:val="24"/>
              </w:rPr>
              <w:t>Всего</w:t>
            </w:r>
          </w:p>
        </w:tc>
      </w:tr>
      <w:tr>
        <w:trPr>
          <w:trHeight w:hRule="atLeast" w:val="276"/>
        </w:trPr>
        <w:tc>
          <w:tcPr>
            <w:tcW w:type="dxa" w:w="2182"/>
            <w:gridSpan w:val="1"/>
            <w:vMerge w:val="continue"/>
          </w:tcPr>
          <w:p/>
        </w:tc>
        <w:tc>
          <w:tcPr>
            <w:tcW w:type="dxa" w:w="2956"/>
            <w:gridSpan w:val="1"/>
            <w:vMerge w:val="continue"/>
          </w:tcPr>
          <w:p/>
        </w:tc>
        <w:tc>
          <w:tcPr>
            <w:tcW w:type="dxa" w:w="1492"/>
          </w:tcPr>
          <w:p w14:paraId="57000000">
            <w:pPr>
              <w:spacing w:after="0" w:line="240" w:lineRule="auto"/>
              <w:ind w:firstLine="20" w:left="0"/>
              <w:contextualSpacing w:val="1"/>
              <w:jc w:val="both"/>
              <w:rPr>
                <w:rFonts w:ascii="Times New Roman" w:hAnsi="Times New Roman"/>
                <w:sz w:val="24"/>
              </w:rPr>
            </w:pPr>
            <w:r>
              <w:rPr>
                <w:rFonts w:ascii="Times New Roman" w:hAnsi="Times New Roman"/>
                <w:sz w:val="24"/>
              </w:rPr>
              <w:t>Кол-во часов в неделю</w:t>
            </w:r>
          </w:p>
        </w:tc>
        <w:tc>
          <w:tcPr>
            <w:tcW w:type="dxa" w:w="1468"/>
          </w:tcPr>
          <w:p w14:paraId="58000000">
            <w:pPr>
              <w:spacing w:after="0" w:line="240" w:lineRule="auto"/>
              <w:ind w:firstLine="20" w:left="0"/>
              <w:contextualSpacing w:val="1"/>
              <w:jc w:val="both"/>
              <w:rPr>
                <w:rFonts w:ascii="Times New Roman" w:hAnsi="Times New Roman"/>
                <w:sz w:val="24"/>
              </w:rPr>
            </w:pPr>
            <w:r>
              <w:rPr>
                <w:rFonts w:ascii="Times New Roman" w:hAnsi="Times New Roman"/>
                <w:sz w:val="24"/>
              </w:rPr>
              <w:t>Кол-во часов в год</w:t>
            </w:r>
          </w:p>
        </w:tc>
        <w:tc>
          <w:tcPr>
            <w:tcW w:type="dxa" w:w="1238"/>
            <w:gridSpan w:val="1"/>
            <w:vMerge w:val="continue"/>
          </w:tcPr>
          <w:p/>
        </w:tc>
      </w:tr>
      <w:tr>
        <w:trPr>
          <w:trHeight w:hRule="atLeast" w:val="260"/>
        </w:trPr>
        <w:tc>
          <w:tcPr>
            <w:tcW w:type="dxa" w:w="2182"/>
            <w:vMerge w:val="restart"/>
          </w:tcPr>
          <w:p w14:paraId="59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Русский язык и литература</w:t>
            </w:r>
          </w:p>
        </w:tc>
        <w:tc>
          <w:tcPr>
            <w:tcW w:type="dxa" w:w="2956"/>
          </w:tcPr>
          <w:p w14:paraId="5A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Русский язык</w:t>
            </w:r>
          </w:p>
        </w:tc>
        <w:tc>
          <w:tcPr>
            <w:tcW w:type="dxa" w:w="1492"/>
          </w:tcPr>
          <w:p w14:paraId="5B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2</w:t>
            </w:r>
          </w:p>
        </w:tc>
        <w:tc>
          <w:tcPr>
            <w:tcW w:type="dxa" w:w="1468"/>
          </w:tcPr>
          <w:p w14:paraId="5C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68</w:t>
            </w:r>
          </w:p>
        </w:tc>
        <w:tc>
          <w:tcPr>
            <w:tcW w:type="dxa" w:w="1238"/>
            <w:vAlign w:val="center"/>
          </w:tcPr>
          <w:p w14:paraId="5D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2/68</w:t>
            </w:r>
          </w:p>
        </w:tc>
      </w:tr>
      <w:tr>
        <w:trPr>
          <w:trHeight w:hRule="atLeast" w:val="582"/>
        </w:trPr>
        <w:tc>
          <w:tcPr>
            <w:tcW w:type="dxa" w:w="2182"/>
            <w:gridSpan w:val="1"/>
            <w:vMerge w:val="continue"/>
          </w:tcPr>
          <w:p/>
        </w:tc>
        <w:tc>
          <w:tcPr>
            <w:tcW w:type="dxa" w:w="2956"/>
          </w:tcPr>
          <w:p w14:paraId="5E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Литературное чтение</w:t>
            </w:r>
          </w:p>
        </w:tc>
        <w:tc>
          <w:tcPr>
            <w:tcW w:type="dxa" w:w="1492"/>
          </w:tcPr>
          <w:p w14:paraId="5F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60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61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1/34</w:t>
            </w:r>
          </w:p>
        </w:tc>
      </w:tr>
      <w:tr>
        <w:trPr>
          <w:trHeight w:hRule="atLeast" w:val="275"/>
        </w:trPr>
        <w:tc>
          <w:tcPr>
            <w:tcW w:type="dxa" w:w="2182"/>
          </w:tcPr>
          <w:p w14:paraId="62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Иностранные языки</w:t>
            </w:r>
          </w:p>
        </w:tc>
        <w:tc>
          <w:tcPr>
            <w:tcW w:type="dxa" w:w="2956"/>
          </w:tcPr>
          <w:p w14:paraId="63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Иностранный (английский) язык</w:t>
            </w:r>
          </w:p>
        </w:tc>
        <w:tc>
          <w:tcPr>
            <w:tcW w:type="dxa" w:w="1492"/>
          </w:tcPr>
          <w:p w14:paraId="64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65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66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1/34</w:t>
            </w:r>
          </w:p>
        </w:tc>
      </w:tr>
      <w:tr>
        <w:trPr>
          <w:trHeight w:hRule="atLeast" w:val="260"/>
        </w:trPr>
        <w:tc>
          <w:tcPr>
            <w:tcW w:type="dxa" w:w="2182"/>
          </w:tcPr>
          <w:p w14:paraId="67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Математика и информатика</w:t>
            </w:r>
          </w:p>
        </w:tc>
        <w:tc>
          <w:tcPr>
            <w:tcW w:type="dxa" w:w="2956"/>
          </w:tcPr>
          <w:p w14:paraId="68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Математика</w:t>
            </w:r>
          </w:p>
        </w:tc>
        <w:tc>
          <w:tcPr>
            <w:tcW w:type="dxa" w:w="1492"/>
          </w:tcPr>
          <w:p w14:paraId="69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2</w:t>
            </w:r>
          </w:p>
        </w:tc>
        <w:tc>
          <w:tcPr>
            <w:tcW w:type="dxa" w:w="1468"/>
          </w:tcPr>
          <w:p w14:paraId="6A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68</w:t>
            </w:r>
          </w:p>
        </w:tc>
        <w:tc>
          <w:tcPr>
            <w:tcW w:type="dxa" w:w="1238"/>
            <w:vAlign w:val="center"/>
          </w:tcPr>
          <w:p w14:paraId="6B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2/68</w:t>
            </w:r>
          </w:p>
        </w:tc>
      </w:tr>
      <w:tr>
        <w:trPr>
          <w:trHeight w:hRule="atLeast" w:val="260"/>
        </w:trPr>
        <w:tc>
          <w:tcPr>
            <w:tcW w:type="dxa" w:w="2182"/>
          </w:tcPr>
          <w:p w14:paraId="6C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Обществознание и естествознание</w:t>
            </w:r>
          </w:p>
        </w:tc>
        <w:tc>
          <w:tcPr>
            <w:tcW w:type="dxa" w:w="2956"/>
          </w:tcPr>
          <w:p w14:paraId="6D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Окружающий мир</w:t>
            </w:r>
          </w:p>
        </w:tc>
        <w:tc>
          <w:tcPr>
            <w:tcW w:type="dxa" w:w="1492"/>
          </w:tcPr>
          <w:p w14:paraId="6E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6F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70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1/34</w:t>
            </w:r>
          </w:p>
        </w:tc>
      </w:tr>
      <w:tr>
        <w:trPr>
          <w:trHeight w:hRule="atLeast" w:val="260"/>
        </w:trPr>
        <w:tc>
          <w:tcPr>
            <w:tcW w:type="dxa" w:w="2182"/>
          </w:tcPr>
          <w:p w14:paraId="71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Искусство</w:t>
            </w:r>
          </w:p>
        </w:tc>
        <w:tc>
          <w:tcPr>
            <w:tcW w:type="dxa" w:w="2956"/>
          </w:tcPr>
          <w:p w14:paraId="72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Изобразительное искусство</w:t>
            </w:r>
          </w:p>
        </w:tc>
        <w:tc>
          <w:tcPr>
            <w:tcW w:type="dxa" w:w="1492"/>
          </w:tcPr>
          <w:p w14:paraId="73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74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75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1/34</w:t>
            </w:r>
          </w:p>
        </w:tc>
      </w:tr>
      <w:tr>
        <w:trPr>
          <w:trHeight w:hRule="atLeast" w:val="260"/>
        </w:trPr>
        <w:tc>
          <w:tcPr>
            <w:tcW w:type="dxa" w:w="2182"/>
          </w:tcPr>
          <w:p w14:paraId="76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Технология</w:t>
            </w:r>
          </w:p>
        </w:tc>
        <w:tc>
          <w:tcPr>
            <w:tcW w:type="dxa" w:w="2956"/>
          </w:tcPr>
          <w:p w14:paraId="77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Технология</w:t>
            </w:r>
          </w:p>
        </w:tc>
        <w:tc>
          <w:tcPr>
            <w:tcW w:type="dxa" w:w="1492"/>
          </w:tcPr>
          <w:p w14:paraId="78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79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7A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1/34</w:t>
            </w:r>
          </w:p>
        </w:tc>
      </w:tr>
      <w:tr>
        <w:trPr>
          <w:trHeight w:hRule="atLeast" w:val="607"/>
        </w:trPr>
        <w:tc>
          <w:tcPr>
            <w:tcW w:type="dxa" w:w="2182"/>
          </w:tcPr>
          <w:p w14:paraId="7B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Физическая культура</w:t>
            </w:r>
          </w:p>
        </w:tc>
        <w:tc>
          <w:tcPr>
            <w:tcW w:type="dxa" w:w="2956"/>
          </w:tcPr>
          <w:p w14:paraId="7C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Физическая культура</w:t>
            </w:r>
          </w:p>
        </w:tc>
        <w:tc>
          <w:tcPr>
            <w:tcW w:type="dxa" w:w="1492"/>
          </w:tcPr>
          <w:p w14:paraId="7D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7E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7F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w:t>
            </w:r>
            <w:r>
              <w:rPr>
                <w:rFonts w:ascii="Times New Roman" w:hAnsi="Times New Roman"/>
                <w:sz w:val="24"/>
              </w:rPr>
              <w:t>/34</w:t>
            </w:r>
          </w:p>
        </w:tc>
      </w:tr>
      <w:tr>
        <w:trPr>
          <w:trHeight w:hRule="atLeast" w:val="607"/>
        </w:trPr>
        <w:tc>
          <w:tcPr>
            <w:tcW w:type="dxa" w:w="2182"/>
          </w:tcPr>
          <w:p w14:paraId="80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Итого</w:t>
            </w:r>
          </w:p>
        </w:tc>
        <w:tc>
          <w:tcPr>
            <w:tcW w:type="dxa" w:w="2956"/>
          </w:tcPr>
          <w:p w14:paraId="81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p>
        </w:tc>
        <w:tc>
          <w:tcPr>
            <w:tcW w:type="dxa" w:w="1492"/>
          </w:tcPr>
          <w:p w14:paraId="82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 xml:space="preserve">       </w:t>
            </w:r>
            <w:r>
              <w:rPr>
                <w:rFonts w:ascii="Times New Roman" w:hAnsi="Times New Roman"/>
                <w:sz w:val="24"/>
              </w:rPr>
              <w:t>10</w:t>
            </w:r>
          </w:p>
        </w:tc>
        <w:tc>
          <w:tcPr>
            <w:tcW w:type="dxa" w:w="1468"/>
          </w:tcPr>
          <w:p w14:paraId="83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 xml:space="preserve">       </w:t>
            </w:r>
            <w:r>
              <w:rPr>
                <w:rFonts w:ascii="Times New Roman" w:hAnsi="Times New Roman"/>
                <w:sz w:val="24"/>
              </w:rPr>
              <w:t>340</w:t>
            </w:r>
          </w:p>
        </w:tc>
        <w:tc>
          <w:tcPr>
            <w:tcW w:type="dxa" w:w="1238"/>
            <w:vAlign w:val="center"/>
          </w:tcPr>
          <w:p w14:paraId="84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 xml:space="preserve">  </w:t>
            </w:r>
            <w:r>
              <w:rPr>
                <w:rFonts w:ascii="Times New Roman" w:hAnsi="Times New Roman"/>
                <w:sz w:val="24"/>
              </w:rPr>
              <w:t>340</w:t>
            </w:r>
          </w:p>
        </w:tc>
      </w:tr>
    </w:tbl>
    <w:p w14:paraId="85000000">
      <w:pPr>
        <w:spacing w:after="0"/>
        <w:ind/>
        <w:rPr>
          <w:rFonts w:ascii="Times New Roman" w:hAnsi="Times New Roman"/>
          <w:color w:val="000000"/>
        </w:rPr>
      </w:pPr>
    </w:p>
    <w:p w14:paraId="86000000">
      <w:pPr>
        <w:ind/>
        <w:jc w:val="right"/>
        <w:rPr>
          <w:rFonts w:ascii="Times New Roman" w:hAnsi="Times New Roman"/>
        </w:rPr>
      </w:pPr>
    </w:p>
    <w:p w14:paraId="87000000">
      <w:pPr>
        <w:ind/>
        <w:jc w:val="right"/>
        <w:rPr>
          <w:rFonts w:ascii="Times New Roman" w:hAnsi="Times New Roman"/>
        </w:rPr>
      </w:pPr>
    </w:p>
    <w:p w14:paraId="88000000">
      <w:pPr>
        <w:rPr>
          <w:rFonts w:ascii="Times New Roman" w:hAnsi="Times New Roman"/>
        </w:rPr>
      </w:pPr>
    </w:p>
    <w:p w14:paraId="89000000">
      <w:pPr>
        <w:rPr>
          <w:rFonts w:ascii="Times New Roman" w:hAnsi="Times New Roman"/>
        </w:rPr>
      </w:pPr>
    </w:p>
    <w:p w14:paraId="8A000000">
      <w:pPr>
        <w:rPr>
          <w:rFonts w:ascii="Times New Roman" w:hAnsi="Times New Roman"/>
        </w:rPr>
      </w:pPr>
    </w:p>
    <w:p w14:paraId="8B000000">
      <w:pPr>
        <w:rPr>
          <w:rFonts w:ascii="Times New Roman" w:hAnsi="Times New Roman"/>
        </w:rPr>
      </w:pPr>
    </w:p>
    <w:p w14:paraId="8C000000">
      <w:pPr>
        <w:rPr>
          <w:rFonts w:ascii="Times New Roman" w:hAnsi="Times New Roman"/>
        </w:rPr>
      </w:pPr>
    </w:p>
    <w:p w14:paraId="8D000000">
      <w:pPr>
        <w:rPr>
          <w:rFonts w:ascii="Times New Roman" w:hAnsi="Times New Roman"/>
        </w:rPr>
      </w:pPr>
    </w:p>
    <w:p w14:paraId="8E000000">
      <w:pPr>
        <w:rPr>
          <w:rFonts w:ascii="Times New Roman" w:hAnsi="Times New Roman"/>
        </w:rPr>
      </w:pPr>
    </w:p>
    <w:p w14:paraId="8F000000">
      <w:pPr>
        <w:rPr>
          <w:rFonts w:ascii="Times New Roman" w:hAnsi="Times New Roman"/>
        </w:rPr>
      </w:pPr>
    </w:p>
    <w:p w14:paraId="90000000">
      <w:pPr>
        <w:pStyle w:val="Style_4"/>
        <w:spacing w:after="0" w:before="0"/>
        <w:ind/>
        <w:jc w:val="right"/>
        <w:rPr>
          <w:color w:val="000000"/>
          <w:sz w:val="22"/>
        </w:rPr>
      </w:pPr>
      <w:r>
        <w:rPr>
          <w:color w:val="000000"/>
          <w:sz w:val="22"/>
        </w:rPr>
        <w:t>Приложение</w:t>
      </w:r>
      <w:r>
        <w:rPr>
          <w:color w:val="000000"/>
          <w:sz w:val="22"/>
        </w:rPr>
        <w:t xml:space="preserve"> №1</w:t>
      </w:r>
    </w:p>
    <w:p w14:paraId="91000000">
      <w:pPr>
        <w:pStyle w:val="Style_4"/>
        <w:spacing w:after="0" w:before="0"/>
        <w:ind/>
        <w:jc w:val="right"/>
        <w:rPr>
          <w:color w:val="000000"/>
          <w:sz w:val="22"/>
        </w:rPr>
      </w:pPr>
      <w:r>
        <w:rPr>
          <w:color w:val="000000"/>
          <w:sz w:val="22"/>
        </w:rPr>
        <w:t xml:space="preserve"> к приказу № 48/2 о.д.</w:t>
      </w:r>
    </w:p>
    <w:p w14:paraId="92000000">
      <w:pPr>
        <w:pStyle w:val="Style_4"/>
        <w:spacing w:after="0" w:before="0"/>
        <w:ind/>
        <w:jc w:val="right"/>
        <w:rPr>
          <w:color w:val="000000"/>
          <w:sz w:val="22"/>
        </w:rPr>
      </w:pPr>
      <w:r>
        <w:rPr>
          <w:color w:val="000000"/>
          <w:sz w:val="22"/>
        </w:rPr>
        <w:t>от 26</w:t>
      </w:r>
      <w:r>
        <w:rPr>
          <w:color w:val="000000"/>
          <w:sz w:val="22"/>
        </w:rPr>
        <w:t>.08.2021 г</w:t>
      </w:r>
    </w:p>
    <w:p w14:paraId="93000000">
      <w:pPr>
        <w:spacing w:after="0"/>
        <w:ind/>
        <w:jc w:val="center"/>
        <w:rPr>
          <w:rFonts w:ascii="Times New Roman" w:hAnsi="Times New Roman"/>
          <w:b w:val="1"/>
        </w:rPr>
      </w:pPr>
      <w:r>
        <w:rPr>
          <w:rFonts w:ascii="Times New Roman" w:hAnsi="Times New Roman"/>
          <w:b w:val="1"/>
        </w:rPr>
        <w:t>Индивидуальный учебный план  для учащегося</w:t>
      </w:r>
    </w:p>
    <w:p w14:paraId="94000000">
      <w:pPr>
        <w:ind/>
        <w:jc w:val="center"/>
        <w:rPr>
          <w:rFonts w:ascii="Times New Roman" w:hAnsi="Times New Roman"/>
          <w:b w:val="1"/>
        </w:rPr>
      </w:pPr>
      <w:r>
        <w:rPr>
          <w:rFonts w:ascii="Times New Roman" w:hAnsi="Times New Roman"/>
          <w:b w:val="1"/>
        </w:rPr>
        <w:t>АптыыАялгаБорбак-ооловича</w:t>
      </w:r>
    </w:p>
    <w:p w14:paraId="95000000">
      <w:pPr>
        <w:ind/>
        <w:jc w:val="center"/>
        <w:rPr>
          <w:rFonts w:ascii="Times New Roman" w:hAnsi="Times New Roman"/>
          <w:b w:val="1"/>
        </w:rPr>
      </w:pPr>
      <w:r>
        <w:rPr>
          <w:rFonts w:ascii="Times New Roman" w:hAnsi="Times New Roman"/>
          <w:b w:val="1"/>
        </w:rPr>
        <w:t>4 класса по коррекционной программе (вариант 6.2)</w:t>
      </w:r>
    </w:p>
    <w:p w14:paraId="96000000">
      <w:pPr>
        <w:ind/>
        <w:jc w:val="center"/>
        <w:rPr>
          <w:rFonts w:ascii="Times New Roman" w:hAnsi="Times New Roman"/>
          <w:b w:val="1"/>
        </w:rPr>
      </w:pPr>
      <w:r>
        <w:rPr>
          <w:rFonts w:ascii="Times New Roman" w:hAnsi="Times New Roman"/>
          <w:b w:val="1"/>
        </w:rPr>
        <w:t xml:space="preserve">МБОУ </w:t>
      </w:r>
      <w:r>
        <w:rPr>
          <w:rFonts w:ascii="Times New Roman" w:hAnsi="Times New Roman"/>
          <w:b w:val="1"/>
        </w:rPr>
        <w:t>Кызыл-Дагская</w:t>
      </w:r>
      <w:r>
        <w:rPr>
          <w:rFonts w:ascii="Times New Roman" w:hAnsi="Times New Roman"/>
          <w:b w:val="1"/>
        </w:rPr>
        <w:t xml:space="preserve"> СОШ на 2020-2021 учебный год</w:t>
      </w:r>
    </w:p>
    <w:p w14:paraId="97000000">
      <w:pPr>
        <w:ind/>
        <w:jc w:val="center"/>
        <w:rPr>
          <w:rFonts w:ascii="Times New Roman" w:hAnsi="Times New Roman"/>
          <w:b w:val="1"/>
        </w:rPr>
      </w:pPr>
    </w:p>
    <w:tbl>
      <w:tblPr>
        <w:tblStyle w:val="Style_5"/>
        <w:tblBorders>
          <w:top w:color="000000" w:sz="4" w:val="single"/>
          <w:left w:color="000000" w:sz="4" w:val="single"/>
          <w:bottom w:color="000000" w:sz="4" w:val="single"/>
          <w:right w:color="000000" w:sz="4" w:val="single"/>
          <w:insideH w:color="000000" w:sz="4" w:val="single"/>
          <w:insideV w:color="000000" w:sz="4" w:val="single"/>
        </w:tblBorders>
      </w:tblPr>
      <w:tblGrid>
        <w:gridCol w:w="2182"/>
        <w:gridCol w:w="2956"/>
        <w:gridCol w:w="1492"/>
        <w:gridCol w:w="1468"/>
        <w:gridCol w:w="1238"/>
      </w:tblGrid>
      <w:tr>
        <w:trPr>
          <w:trHeight w:hRule="atLeast" w:val="428"/>
        </w:trPr>
        <w:tc>
          <w:tcPr>
            <w:tcW w:type="dxa" w:w="2182"/>
            <w:vMerge w:val="restart"/>
          </w:tcPr>
          <w:p w14:paraId="98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Предметные области</w:t>
            </w:r>
          </w:p>
        </w:tc>
        <w:tc>
          <w:tcPr>
            <w:tcW w:type="dxa" w:w="2956"/>
            <w:vMerge w:val="restart"/>
          </w:tcPr>
          <w:p w14:paraId="99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Учебные</w:t>
            </w:r>
          </w:p>
          <w:p w14:paraId="9A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предметы/</w:t>
            </w:r>
            <w:r>
              <w:rPr>
                <w:rFonts w:ascii="Times New Roman" w:hAnsi="Times New Roman"/>
                <w:sz w:val="24"/>
              </w:rPr>
              <w:t>Классы</w:t>
            </w:r>
          </w:p>
        </w:tc>
        <w:tc>
          <w:tcPr>
            <w:tcW w:type="dxa" w:w="2960"/>
            <w:gridSpan w:val="2"/>
          </w:tcPr>
          <w:p w14:paraId="9B000000">
            <w:pPr>
              <w:tabs>
                <w:tab w:leader="none" w:pos="4500" w:val="left"/>
                <w:tab w:leader="none" w:pos="9180" w:val="left"/>
                <w:tab w:leader="none" w:pos="9360" w:val="left"/>
              </w:tabs>
              <w:spacing w:after="0" w:line="240" w:lineRule="auto"/>
              <w:ind w:firstLine="20" w:left="0"/>
              <w:contextualSpacing w:val="1"/>
              <w:jc w:val="center"/>
              <w:rPr>
                <w:rFonts w:ascii="Times New Roman" w:hAnsi="Times New Roman"/>
                <w:sz w:val="24"/>
              </w:rPr>
            </w:pPr>
            <w:r>
              <w:rPr>
                <w:rFonts w:ascii="Times New Roman" w:hAnsi="Times New Roman"/>
                <w:sz w:val="24"/>
              </w:rPr>
              <w:t>4 класс</w:t>
            </w:r>
          </w:p>
        </w:tc>
        <w:tc>
          <w:tcPr>
            <w:tcW w:type="dxa" w:w="1238"/>
            <w:vMerge w:val="restart"/>
          </w:tcPr>
          <w:p w14:paraId="9C000000">
            <w:pPr>
              <w:tabs>
                <w:tab w:leader="none" w:pos="4500" w:val="left"/>
                <w:tab w:leader="none" w:pos="9180" w:val="left"/>
                <w:tab w:leader="none" w:pos="9360" w:val="left"/>
              </w:tabs>
              <w:spacing w:after="0" w:line="240" w:lineRule="auto"/>
              <w:ind w:firstLine="20" w:left="0"/>
              <w:contextualSpacing w:val="1"/>
              <w:jc w:val="both"/>
              <w:rPr>
                <w:rFonts w:ascii="Times New Roman" w:hAnsi="Times New Roman"/>
                <w:sz w:val="24"/>
              </w:rPr>
            </w:pPr>
            <w:r>
              <w:rPr>
                <w:rFonts w:ascii="Times New Roman" w:hAnsi="Times New Roman"/>
                <w:sz w:val="24"/>
              </w:rPr>
              <w:t>Всего</w:t>
            </w:r>
          </w:p>
        </w:tc>
      </w:tr>
      <w:tr>
        <w:trPr>
          <w:trHeight w:hRule="atLeast" w:val="276"/>
        </w:trPr>
        <w:tc>
          <w:tcPr>
            <w:tcW w:type="dxa" w:w="2182"/>
            <w:gridSpan w:val="1"/>
            <w:vMerge w:val="continue"/>
          </w:tcPr>
          <w:p/>
        </w:tc>
        <w:tc>
          <w:tcPr>
            <w:tcW w:type="dxa" w:w="2956"/>
            <w:gridSpan w:val="1"/>
            <w:vMerge w:val="continue"/>
          </w:tcPr>
          <w:p/>
        </w:tc>
        <w:tc>
          <w:tcPr>
            <w:tcW w:type="dxa" w:w="1492"/>
          </w:tcPr>
          <w:p w14:paraId="9D000000">
            <w:pPr>
              <w:spacing w:after="0" w:line="240" w:lineRule="auto"/>
              <w:ind w:firstLine="20" w:left="0"/>
              <w:contextualSpacing w:val="1"/>
              <w:jc w:val="both"/>
              <w:rPr>
                <w:rFonts w:ascii="Times New Roman" w:hAnsi="Times New Roman"/>
                <w:sz w:val="24"/>
              </w:rPr>
            </w:pPr>
            <w:r>
              <w:rPr>
                <w:rFonts w:ascii="Times New Roman" w:hAnsi="Times New Roman"/>
                <w:sz w:val="24"/>
              </w:rPr>
              <w:t>Кол-во часов в неделю</w:t>
            </w:r>
          </w:p>
        </w:tc>
        <w:tc>
          <w:tcPr>
            <w:tcW w:type="dxa" w:w="1468"/>
          </w:tcPr>
          <w:p w14:paraId="9E000000">
            <w:pPr>
              <w:spacing w:after="0" w:line="240" w:lineRule="auto"/>
              <w:ind w:firstLine="20" w:left="0"/>
              <w:contextualSpacing w:val="1"/>
              <w:jc w:val="both"/>
              <w:rPr>
                <w:rFonts w:ascii="Times New Roman" w:hAnsi="Times New Roman"/>
                <w:sz w:val="24"/>
              </w:rPr>
            </w:pPr>
            <w:r>
              <w:rPr>
                <w:rFonts w:ascii="Times New Roman" w:hAnsi="Times New Roman"/>
                <w:sz w:val="24"/>
              </w:rPr>
              <w:t>Кол-во часов в год</w:t>
            </w:r>
          </w:p>
        </w:tc>
        <w:tc>
          <w:tcPr>
            <w:tcW w:type="dxa" w:w="1238"/>
            <w:gridSpan w:val="1"/>
            <w:vMerge w:val="continue"/>
          </w:tcPr>
          <w:p/>
        </w:tc>
      </w:tr>
      <w:tr>
        <w:trPr>
          <w:trHeight w:hRule="atLeast" w:val="260"/>
        </w:trPr>
        <w:tc>
          <w:tcPr>
            <w:tcW w:type="dxa" w:w="2182"/>
          </w:tcPr>
          <w:p w14:paraId="9F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Русский язык и литература</w:t>
            </w:r>
          </w:p>
        </w:tc>
        <w:tc>
          <w:tcPr>
            <w:tcW w:type="dxa" w:w="2956"/>
          </w:tcPr>
          <w:p w14:paraId="A0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Русский язык</w:t>
            </w:r>
          </w:p>
        </w:tc>
        <w:tc>
          <w:tcPr>
            <w:tcW w:type="dxa" w:w="1492"/>
          </w:tcPr>
          <w:p w14:paraId="A1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A2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A3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1/34</w:t>
            </w:r>
          </w:p>
        </w:tc>
      </w:tr>
      <w:tr>
        <w:trPr>
          <w:trHeight w:hRule="atLeast" w:val="260"/>
        </w:trPr>
        <w:tc>
          <w:tcPr>
            <w:tcW w:type="dxa" w:w="2182"/>
            <w:vMerge w:val="restart"/>
          </w:tcPr>
          <w:p w14:paraId="A4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Родной язык и литературное чтение с родным языком</w:t>
            </w:r>
          </w:p>
        </w:tc>
        <w:tc>
          <w:tcPr>
            <w:tcW w:type="dxa" w:w="2956"/>
          </w:tcPr>
          <w:p w14:paraId="A5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Родной (тувинский) язык</w:t>
            </w:r>
          </w:p>
        </w:tc>
        <w:tc>
          <w:tcPr>
            <w:tcW w:type="dxa" w:w="1492"/>
          </w:tcPr>
          <w:p w14:paraId="A6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A7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A8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1/34</w:t>
            </w:r>
          </w:p>
        </w:tc>
      </w:tr>
      <w:tr>
        <w:trPr>
          <w:trHeight w:hRule="atLeast" w:val="260"/>
        </w:trPr>
        <w:tc>
          <w:tcPr>
            <w:tcW w:type="dxa" w:w="2182"/>
            <w:gridSpan w:val="1"/>
            <w:vMerge w:val="continue"/>
          </w:tcPr>
          <w:p/>
        </w:tc>
        <w:tc>
          <w:tcPr>
            <w:tcW w:type="dxa" w:w="2956"/>
          </w:tcPr>
          <w:p w14:paraId="A9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Литературное чтение с родным (тувинским) языком</w:t>
            </w:r>
          </w:p>
        </w:tc>
        <w:tc>
          <w:tcPr>
            <w:tcW w:type="dxa" w:w="1492"/>
          </w:tcPr>
          <w:p w14:paraId="AA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AB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AC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1/34</w:t>
            </w:r>
          </w:p>
        </w:tc>
      </w:tr>
      <w:tr>
        <w:trPr>
          <w:trHeight w:hRule="atLeast" w:val="260"/>
        </w:trPr>
        <w:tc>
          <w:tcPr>
            <w:tcW w:type="dxa" w:w="2182"/>
          </w:tcPr>
          <w:p w14:paraId="AD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Математика и информатика</w:t>
            </w:r>
          </w:p>
        </w:tc>
        <w:tc>
          <w:tcPr>
            <w:tcW w:type="dxa" w:w="2956"/>
          </w:tcPr>
          <w:p w14:paraId="AE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Математика</w:t>
            </w:r>
          </w:p>
        </w:tc>
        <w:tc>
          <w:tcPr>
            <w:tcW w:type="dxa" w:w="1492"/>
          </w:tcPr>
          <w:p w14:paraId="AF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B0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B1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1/34</w:t>
            </w:r>
          </w:p>
        </w:tc>
      </w:tr>
      <w:tr>
        <w:trPr>
          <w:trHeight w:hRule="atLeast" w:val="260"/>
        </w:trPr>
        <w:tc>
          <w:tcPr>
            <w:tcW w:type="dxa" w:w="2182"/>
          </w:tcPr>
          <w:p w14:paraId="B2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Обществознание и естествознание</w:t>
            </w:r>
          </w:p>
        </w:tc>
        <w:tc>
          <w:tcPr>
            <w:tcW w:type="dxa" w:w="2956"/>
          </w:tcPr>
          <w:p w14:paraId="B3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Окружающий мир</w:t>
            </w:r>
          </w:p>
        </w:tc>
        <w:tc>
          <w:tcPr>
            <w:tcW w:type="dxa" w:w="1492"/>
          </w:tcPr>
          <w:p w14:paraId="B4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B5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B6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1/34</w:t>
            </w:r>
          </w:p>
        </w:tc>
      </w:tr>
      <w:tr>
        <w:trPr>
          <w:trHeight w:hRule="atLeast" w:val="260"/>
        </w:trPr>
        <w:tc>
          <w:tcPr>
            <w:tcW w:type="dxa" w:w="2182"/>
          </w:tcPr>
          <w:p w14:paraId="B7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Искусство</w:t>
            </w:r>
          </w:p>
        </w:tc>
        <w:tc>
          <w:tcPr>
            <w:tcW w:type="dxa" w:w="2956"/>
          </w:tcPr>
          <w:p w14:paraId="B8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Изобразительное искусство</w:t>
            </w:r>
          </w:p>
        </w:tc>
        <w:tc>
          <w:tcPr>
            <w:tcW w:type="dxa" w:w="1492"/>
          </w:tcPr>
          <w:p w14:paraId="B9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BA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BB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1/34</w:t>
            </w:r>
          </w:p>
        </w:tc>
      </w:tr>
      <w:tr>
        <w:trPr>
          <w:trHeight w:hRule="atLeast" w:val="260"/>
        </w:trPr>
        <w:tc>
          <w:tcPr>
            <w:tcW w:type="dxa" w:w="2182"/>
          </w:tcPr>
          <w:p w14:paraId="BC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Технология</w:t>
            </w:r>
          </w:p>
        </w:tc>
        <w:tc>
          <w:tcPr>
            <w:tcW w:type="dxa" w:w="2956"/>
          </w:tcPr>
          <w:p w14:paraId="BD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Технология</w:t>
            </w:r>
          </w:p>
        </w:tc>
        <w:tc>
          <w:tcPr>
            <w:tcW w:type="dxa" w:w="1492"/>
          </w:tcPr>
          <w:p w14:paraId="BE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BF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C0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1/34</w:t>
            </w:r>
          </w:p>
        </w:tc>
      </w:tr>
      <w:tr>
        <w:trPr>
          <w:trHeight w:hRule="atLeast" w:val="607"/>
        </w:trPr>
        <w:tc>
          <w:tcPr>
            <w:tcW w:type="dxa" w:w="2182"/>
          </w:tcPr>
          <w:p w14:paraId="C1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Физическая культура</w:t>
            </w:r>
          </w:p>
        </w:tc>
        <w:tc>
          <w:tcPr>
            <w:tcW w:type="dxa" w:w="2956"/>
          </w:tcPr>
          <w:p w14:paraId="C2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Физическая культура</w:t>
            </w:r>
          </w:p>
        </w:tc>
        <w:tc>
          <w:tcPr>
            <w:tcW w:type="dxa" w:w="1492"/>
          </w:tcPr>
          <w:p w14:paraId="C3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C4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C5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w:t>
            </w:r>
            <w:r>
              <w:rPr>
                <w:rFonts w:ascii="Times New Roman" w:hAnsi="Times New Roman"/>
                <w:sz w:val="24"/>
              </w:rPr>
              <w:t>/34</w:t>
            </w:r>
          </w:p>
        </w:tc>
      </w:tr>
      <w:tr>
        <w:trPr>
          <w:trHeight w:hRule="atLeast" w:val="607"/>
        </w:trPr>
        <w:tc>
          <w:tcPr>
            <w:tcW w:type="dxa" w:w="2182"/>
            <w:vMerge w:val="restart"/>
          </w:tcPr>
          <w:p w14:paraId="C6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Коррекционно-развивающиеся занятия</w:t>
            </w:r>
          </w:p>
        </w:tc>
        <w:tc>
          <w:tcPr>
            <w:tcW w:type="dxa" w:w="2956"/>
          </w:tcPr>
          <w:p w14:paraId="C7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Логопедические занятия</w:t>
            </w:r>
          </w:p>
        </w:tc>
        <w:tc>
          <w:tcPr>
            <w:tcW w:type="dxa" w:w="1492"/>
          </w:tcPr>
          <w:p w14:paraId="C8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C9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CA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w:t>
            </w:r>
            <w:r>
              <w:rPr>
                <w:rFonts w:ascii="Times New Roman" w:hAnsi="Times New Roman"/>
                <w:sz w:val="24"/>
              </w:rPr>
              <w:t>/34</w:t>
            </w:r>
          </w:p>
        </w:tc>
      </w:tr>
      <w:tr>
        <w:trPr>
          <w:trHeight w:hRule="atLeast" w:val="607"/>
        </w:trPr>
        <w:tc>
          <w:tcPr>
            <w:tcW w:type="dxa" w:w="2182"/>
            <w:gridSpan w:val="1"/>
            <w:vMerge w:val="continue"/>
          </w:tcPr>
          <w:p/>
        </w:tc>
        <w:tc>
          <w:tcPr>
            <w:tcW w:type="dxa" w:w="2956"/>
          </w:tcPr>
          <w:p w14:paraId="CB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Психологические занятия</w:t>
            </w:r>
          </w:p>
        </w:tc>
        <w:tc>
          <w:tcPr>
            <w:tcW w:type="dxa" w:w="1492"/>
          </w:tcPr>
          <w:p w14:paraId="CC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1</w:t>
            </w:r>
          </w:p>
        </w:tc>
        <w:tc>
          <w:tcPr>
            <w:tcW w:type="dxa" w:w="1468"/>
          </w:tcPr>
          <w:p w14:paraId="CD000000">
            <w:pPr>
              <w:tabs>
                <w:tab w:leader="none" w:pos="4500" w:val="left"/>
                <w:tab w:leader="none" w:pos="9180" w:val="left"/>
                <w:tab w:leader="none" w:pos="9360" w:val="left"/>
              </w:tabs>
              <w:spacing w:after="0" w:line="240" w:lineRule="auto"/>
              <w:ind w:firstLine="0" w:left="22"/>
              <w:contextualSpacing w:val="1"/>
              <w:jc w:val="center"/>
              <w:rPr>
                <w:rFonts w:ascii="Times New Roman" w:hAnsi="Times New Roman"/>
                <w:sz w:val="24"/>
              </w:rPr>
            </w:pPr>
            <w:r>
              <w:rPr>
                <w:rFonts w:ascii="Times New Roman" w:hAnsi="Times New Roman"/>
                <w:sz w:val="24"/>
              </w:rPr>
              <w:t>34</w:t>
            </w:r>
          </w:p>
        </w:tc>
        <w:tc>
          <w:tcPr>
            <w:tcW w:type="dxa" w:w="1238"/>
            <w:vAlign w:val="center"/>
          </w:tcPr>
          <w:p w14:paraId="CE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w:t>
            </w:r>
            <w:r>
              <w:rPr>
                <w:rFonts w:ascii="Times New Roman" w:hAnsi="Times New Roman"/>
                <w:sz w:val="24"/>
              </w:rPr>
              <w:t>/34</w:t>
            </w:r>
          </w:p>
        </w:tc>
      </w:tr>
      <w:tr>
        <w:trPr>
          <w:trHeight w:hRule="atLeast" w:val="607"/>
        </w:trPr>
        <w:tc>
          <w:tcPr>
            <w:tcW w:type="dxa" w:w="2182"/>
          </w:tcPr>
          <w:p w14:paraId="CF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r>
              <w:rPr>
                <w:rFonts w:ascii="Times New Roman" w:hAnsi="Times New Roman"/>
                <w:sz w:val="24"/>
              </w:rPr>
              <w:t>Итого</w:t>
            </w:r>
          </w:p>
        </w:tc>
        <w:tc>
          <w:tcPr>
            <w:tcW w:type="dxa" w:w="2956"/>
          </w:tcPr>
          <w:p w14:paraId="D0000000">
            <w:pPr>
              <w:tabs>
                <w:tab w:leader="none" w:pos="4500" w:val="left"/>
                <w:tab w:leader="none" w:pos="9180" w:val="left"/>
                <w:tab w:leader="none" w:pos="9360" w:val="left"/>
              </w:tabs>
              <w:spacing w:after="0" w:line="240" w:lineRule="auto"/>
              <w:ind/>
              <w:contextualSpacing w:val="1"/>
              <w:jc w:val="both"/>
              <w:rPr>
                <w:rFonts w:ascii="Times New Roman" w:hAnsi="Times New Roman"/>
                <w:sz w:val="24"/>
              </w:rPr>
            </w:pPr>
          </w:p>
        </w:tc>
        <w:tc>
          <w:tcPr>
            <w:tcW w:type="dxa" w:w="1492"/>
          </w:tcPr>
          <w:p w14:paraId="D1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10</w:t>
            </w:r>
          </w:p>
        </w:tc>
        <w:tc>
          <w:tcPr>
            <w:tcW w:type="dxa" w:w="1468"/>
          </w:tcPr>
          <w:p w14:paraId="D2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340</w:t>
            </w:r>
          </w:p>
        </w:tc>
        <w:tc>
          <w:tcPr>
            <w:tcW w:type="dxa" w:w="1238"/>
            <w:vAlign w:val="center"/>
          </w:tcPr>
          <w:p w14:paraId="D3000000">
            <w:pPr>
              <w:tabs>
                <w:tab w:leader="none" w:pos="4500" w:val="left"/>
                <w:tab w:leader="none" w:pos="9180" w:val="left"/>
                <w:tab w:leader="none" w:pos="9360" w:val="left"/>
              </w:tabs>
              <w:spacing w:after="0" w:line="240" w:lineRule="auto"/>
              <w:ind w:firstLine="0" w:left="22"/>
              <w:contextualSpacing w:val="1"/>
              <w:jc w:val="both"/>
              <w:rPr>
                <w:rFonts w:ascii="Times New Roman" w:hAnsi="Times New Roman"/>
                <w:sz w:val="24"/>
              </w:rPr>
            </w:pPr>
            <w:r>
              <w:rPr>
                <w:rFonts w:ascii="Times New Roman" w:hAnsi="Times New Roman"/>
                <w:sz w:val="24"/>
              </w:rPr>
              <w:t>340</w:t>
            </w:r>
          </w:p>
        </w:tc>
      </w:tr>
    </w:tbl>
    <w:p w14:paraId="D4000000">
      <w:pPr>
        <w:spacing w:after="0"/>
        <w:ind/>
        <w:rPr>
          <w:rFonts w:ascii="Times New Roman" w:hAnsi="Times New Roman"/>
          <w:color w:val="000000"/>
        </w:rPr>
      </w:pPr>
    </w:p>
    <w:p w14:paraId="D5000000">
      <w:pPr>
        <w:ind/>
        <w:jc w:val="right"/>
        <w:rPr>
          <w:rFonts w:ascii="Times New Roman" w:hAnsi="Times New Roman"/>
        </w:rPr>
      </w:pPr>
    </w:p>
    <w:p w14:paraId="D6000000">
      <w:pPr>
        <w:ind/>
        <w:jc w:val="right"/>
        <w:rPr>
          <w:rFonts w:ascii="Times New Roman" w:hAnsi="Times New Roman"/>
        </w:rPr>
      </w:pPr>
    </w:p>
    <w:p w14:paraId="D7000000">
      <w:pPr>
        <w:rPr>
          <w:rFonts w:ascii="Times New Roman" w:hAnsi="Times New Roman"/>
        </w:rPr>
      </w:pPr>
    </w:p>
    <w:p w14:paraId="D8000000">
      <w:pPr>
        <w:rPr>
          <w:rFonts w:ascii="Times New Roman" w:hAnsi="Times New Roman"/>
        </w:rPr>
      </w:pPr>
    </w:p>
    <w:p w14:paraId="D9000000">
      <w:pPr>
        <w:rPr>
          <w:rFonts w:ascii="Times New Roman" w:hAnsi="Times New Roman"/>
        </w:rPr>
      </w:pPr>
    </w:p>
    <w:p w14:paraId="DA000000">
      <w:pPr>
        <w:rPr>
          <w:rFonts w:ascii="Times New Roman" w:hAnsi="Times New Roman"/>
        </w:rPr>
      </w:pPr>
    </w:p>
    <w:p w14:paraId="DB000000">
      <w:pPr>
        <w:rPr>
          <w:rFonts w:ascii="Times New Roman" w:hAnsi="Times New Roman"/>
        </w:rPr>
      </w:pPr>
    </w:p>
    <w:p w14:paraId="DC000000">
      <w:pPr>
        <w:rPr>
          <w:rFonts w:ascii="Times New Roman" w:hAnsi="Times New Roman"/>
        </w:rPr>
      </w:pPr>
    </w:p>
    <w:p w14:paraId="DD000000">
      <w:pPr>
        <w:pStyle w:val="Style_4"/>
        <w:spacing w:after="0" w:before="0"/>
        <w:ind/>
        <w:jc w:val="right"/>
        <w:rPr>
          <w:color w:val="000000"/>
          <w:sz w:val="22"/>
        </w:rPr>
      </w:pPr>
      <w:r>
        <w:rPr>
          <w:color w:val="000000"/>
          <w:sz w:val="22"/>
        </w:rPr>
        <w:t>Приложение</w:t>
      </w:r>
      <w:r>
        <w:rPr>
          <w:color w:val="000000"/>
          <w:sz w:val="22"/>
        </w:rPr>
        <w:t xml:space="preserve"> №1</w:t>
      </w:r>
    </w:p>
    <w:p w14:paraId="DE000000">
      <w:pPr>
        <w:pStyle w:val="Style_4"/>
        <w:spacing w:after="0" w:before="0"/>
        <w:ind/>
        <w:jc w:val="right"/>
        <w:rPr>
          <w:color w:val="000000"/>
          <w:sz w:val="22"/>
        </w:rPr>
      </w:pPr>
      <w:r>
        <w:rPr>
          <w:color w:val="000000"/>
          <w:sz w:val="22"/>
        </w:rPr>
        <w:t xml:space="preserve"> к приказу № 48/2 о.д.</w:t>
      </w:r>
    </w:p>
    <w:p w14:paraId="DF000000">
      <w:pPr>
        <w:pStyle w:val="Style_4"/>
        <w:spacing w:after="0" w:before="0"/>
        <w:ind/>
        <w:jc w:val="right"/>
        <w:rPr>
          <w:color w:val="000000"/>
          <w:sz w:val="22"/>
        </w:rPr>
      </w:pPr>
      <w:r>
        <w:rPr>
          <w:color w:val="000000"/>
          <w:sz w:val="22"/>
        </w:rPr>
        <w:t>от 26</w:t>
      </w:r>
      <w:r>
        <w:rPr>
          <w:color w:val="000000"/>
          <w:sz w:val="22"/>
        </w:rPr>
        <w:t>.08.2021 г</w:t>
      </w:r>
    </w:p>
    <w:p w14:paraId="E0000000">
      <w:pPr>
        <w:ind/>
        <w:jc w:val="center"/>
        <w:rPr>
          <w:rFonts w:ascii="Times New Roman" w:hAnsi="Times New Roman"/>
          <w:b w:val="1"/>
        </w:rPr>
      </w:pPr>
      <w:r>
        <w:rPr>
          <w:rFonts w:ascii="Times New Roman" w:hAnsi="Times New Roman"/>
          <w:b w:val="1"/>
        </w:rPr>
        <w:t>Индивидуальный учебный план индивидуального обучения на дому</w:t>
      </w:r>
    </w:p>
    <w:p w14:paraId="E1000000">
      <w:pPr>
        <w:ind/>
        <w:jc w:val="center"/>
        <w:rPr>
          <w:rFonts w:ascii="Times New Roman" w:hAnsi="Times New Roman"/>
          <w:b w:val="1"/>
        </w:rPr>
      </w:pPr>
      <w:r>
        <w:rPr>
          <w:rFonts w:ascii="Times New Roman" w:hAnsi="Times New Roman"/>
          <w:b w:val="1"/>
        </w:rPr>
        <w:t xml:space="preserve"> по общеобразовательной программе учащегося 11 класса </w:t>
      </w:r>
    </w:p>
    <w:p w14:paraId="E2000000">
      <w:pPr>
        <w:ind/>
        <w:jc w:val="center"/>
        <w:rPr>
          <w:rFonts w:ascii="Times New Roman" w:hAnsi="Times New Roman"/>
          <w:b w:val="1"/>
        </w:rPr>
      </w:pPr>
      <w:r>
        <w:rPr>
          <w:rFonts w:ascii="Times New Roman" w:hAnsi="Times New Roman"/>
          <w:b w:val="1"/>
        </w:rPr>
        <w:t>Оптуг-оол</w:t>
      </w:r>
      <w:r>
        <w:rPr>
          <w:rFonts w:ascii="Times New Roman" w:hAnsi="Times New Roman"/>
          <w:b w:val="1"/>
        </w:rPr>
        <w:t xml:space="preserve"> </w:t>
      </w:r>
      <w:r>
        <w:rPr>
          <w:rFonts w:ascii="Times New Roman" w:hAnsi="Times New Roman"/>
          <w:b w:val="1"/>
        </w:rPr>
        <w:t>Аюжана</w:t>
      </w:r>
      <w:r>
        <w:rPr>
          <w:rFonts w:ascii="Times New Roman" w:hAnsi="Times New Roman"/>
          <w:b w:val="1"/>
        </w:rPr>
        <w:t xml:space="preserve"> </w:t>
      </w:r>
      <w:r>
        <w:rPr>
          <w:rFonts w:ascii="Times New Roman" w:hAnsi="Times New Roman"/>
          <w:b w:val="1"/>
        </w:rPr>
        <w:t>Сайыновича</w:t>
      </w:r>
    </w:p>
    <w:p w14:paraId="E3000000">
      <w:pPr>
        <w:ind/>
        <w:jc w:val="center"/>
        <w:rPr>
          <w:rFonts w:ascii="Times New Roman" w:hAnsi="Times New Roman"/>
          <w:b w:val="1"/>
        </w:rPr>
      </w:pPr>
      <w:r>
        <w:rPr>
          <w:rFonts w:ascii="Times New Roman" w:hAnsi="Times New Roman"/>
          <w:b w:val="1"/>
        </w:rPr>
        <w:t>на 2020-2021 учебный год</w:t>
      </w:r>
    </w:p>
    <w:tbl>
      <w:tblPr>
        <w:tblStyle w:val="Style_5"/>
        <w:tblInd w:type="dxa" w:w="93"/>
      </w:tblPr>
      <w:tblGrid>
        <w:gridCol w:w="2123"/>
        <w:gridCol w:w="2452"/>
        <w:gridCol w:w="1439"/>
        <w:gridCol w:w="1585"/>
        <w:gridCol w:w="1879"/>
      </w:tblGrid>
      <w:tr>
        <w:tc>
          <w:tcPr>
            <w:tcW w:type="dxa" w:w="2123"/>
            <w:vMerge w:val="restart"/>
            <w:tcBorders>
              <w:top w:color="000000" w:sz="4" w:val="single"/>
              <w:left w:color="000000" w:sz="4" w:val="single"/>
              <w:bottom w:color="000000" w:sz="4" w:val="single"/>
              <w:right w:color="000000" w:sz="4" w:val="single"/>
            </w:tcBorders>
            <w:vAlign w:val="center"/>
          </w:tcPr>
          <w:p w14:paraId="E4000000">
            <w:pPr>
              <w:spacing w:after="0"/>
              <w:ind/>
              <w:rPr>
                <w:rFonts w:ascii="Times New Roman" w:hAnsi="Times New Roman"/>
                <w:color w:val="000000"/>
              </w:rPr>
            </w:pPr>
            <w:r>
              <w:rPr>
                <w:rFonts w:ascii="Times New Roman" w:hAnsi="Times New Roman"/>
              </w:rPr>
              <w:t>Предметная область</w:t>
            </w:r>
          </w:p>
        </w:tc>
        <w:tc>
          <w:tcPr>
            <w:tcW w:type="dxa" w:w="2452"/>
            <w:vMerge w:val="restart"/>
            <w:tcBorders>
              <w:top w:color="000000" w:sz="4" w:val="single"/>
              <w:left w:color="000000" w:sz="4" w:val="single"/>
              <w:bottom w:color="000000" w:sz="4" w:val="single"/>
              <w:right w:color="000000" w:sz="4" w:val="single"/>
            </w:tcBorders>
          </w:tcPr>
          <w:p w14:paraId="E5000000">
            <w:pPr>
              <w:spacing w:after="0"/>
              <w:ind/>
              <w:rPr>
                <w:rFonts w:ascii="Times New Roman" w:hAnsi="Times New Roman"/>
                <w:color w:val="000000"/>
              </w:rPr>
            </w:pPr>
            <w:r>
              <w:rPr>
                <w:rFonts w:ascii="Times New Roman" w:hAnsi="Times New Roman"/>
              </w:rPr>
              <w:t>Основные компоненты содержания образования</w:t>
            </w:r>
          </w:p>
        </w:tc>
        <w:tc>
          <w:tcPr>
            <w:tcW w:type="dxa" w:w="1439"/>
            <w:vMerge w:val="restart"/>
            <w:tcBorders>
              <w:top w:color="000000" w:sz="4" w:val="single"/>
              <w:left w:color="000000" w:sz="4" w:val="single"/>
              <w:bottom w:color="000000" w:sz="4" w:val="single"/>
              <w:right w:color="000000" w:sz="4" w:val="single"/>
            </w:tcBorders>
            <w:vAlign w:val="center"/>
          </w:tcPr>
          <w:p w14:paraId="E6000000">
            <w:pPr>
              <w:spacing w:after="0"/>
              <w:ind/>
              <w:jc w:val="center"/>
              <w:rPr>
                <w:rFonts w:ascii="Times New Roman" w:hAnsi="Times New Roman"/>
                <w:color w:val="000000"/>
              </w:rPr>
            </w:pPr>
            <w:r>
              <w:rPr>
                <w:rFonts w:ascii="Times New Roman" w:hAnsi="Times New Roman"/>
              </w:rPr>
              <w:t>Уровень изучения</w:t>
            </w:r>
          </w:p>
        </w:tc>
        <w:tc>
          <w:tcPr>
            <w:tcW w:type="dxa" w:w="3464"/>
            <w:gridSpan w:val="2"/>
            <w:tcBorders>
              <w:top w:color="000000" w:sz="4" w:val="single"/>
              <w:left w:color="000000" w:sz="4" w:val="single"/>
              <w:bottom w:color="000000" w:sz="4" w:val="single"/>
              <w:right w:color="000000" w:sz="4" w:val="single"/>
            </w:tcBorders>
            <w:vAlign w:val="center"/>
          </w:tcPr>
          <w:p w14:paraId="E7000000">
            <w:pPr>
              <w:spacing w:after="0"/>
              <w:ind/>
              <w:jc w:val="center"/>
              <w:rPr>
                <w:rFonts w:ascii="Times New Roman" w:hAnsi="Times New Roman"/>
                <w:color w:val="000000"/>
              </w:rPr>
            </w:pPr>
            <w:r>
              <w:rPr>
                <w:rFonts w:ascii="Times New Roman" w:hAnsi="Times New Roman"/>
              </w:rPr>
              <w:t>X</w:t>
            </w:r>
            <w:r>
              <w:rPr>
                <w:rFonts w:ascii="Times New Roman" w:hAnsi="Times New Roman"/>
              </w:rPr>
              <w:t>I</w:t>
            </w:r>
            <w:r>
              <w:rPr>
                <w:rFonts w:ascii="Times New Roman" w:hAnsi="Times New Roman"/>
              </w:rPr>
              <w:t xml:space="preserve"> класс</w:t>
            </w:r>
          </w:p>
        </w:tc>
      </w:tr>
      <w:tr>
        <w:tc>
          <w:tcPr>
            <w:tcW w:type="dxa" w:w="2123"/>
            <w:gridSpan w:val="1"/>
            <w:vMerge w:val="continue"/>
            <w:tcBorders>
              <w:top w:color="000000" w:sz="4" w:val="single"/>
              <w:left w:color="000000" w:sz="4" w:val="single"/>
              <w:bottom w:color="000000" w:sz="4" w:val="single"/>
              <w:right w:color="000000" w:sz="4" w:val="single"/>
            </w:tcBorders>
            <w:vAlign w:val="center"/>
          </w:tcPr>
          <w:p/>
        </w:tc>
        <w:tc>
          <w:tcPr>
            <w:tcW w:type="dxa" w:w="2452"/>
            <w:gridSpan w:val="1"/>
            <w:vMerge w:val="continue"/>
            <w:tcBorders>
              <w:top w:color="000000" w:sz="4" w:val="single"/>
              <w:left w:color="000000" w:sz="4" w:val="single"/>
              <w:bottom w:color="000000" w:sz="4" w:val="single"/>
              <w:right w:color="000000" w:sz="4" w:val="single"/>
            </w:tcBorders>
          </w:tcPr>
          <w:p/>
        </w:tc>
        <w:tc>
          <w:tcPr>
            <w:tcW w:type="dxa" w:w="1439"/>
            <w:gridSpan w:val="1"/>
            <w:vMerge w:val="continue"/>
            <w:tcBorders>
              <w:top w:color="000000" w:sz="4" w:val="single"/>
              <w:left w:color="000000" w:sz="4" w:val="single"/>
              <w:bottom w:color="000000" w:sz="4" w:val="single"/>
              <w:right w:color="000000" w:sz="4" w:val="single"/>
            </w:tcBorders>
            <w:vAlign w:val="center"/>
          </w:tcPr>
          <w:p/>
        </w:tc>
        <w:tc>
          <w:tcPr>
            <w:tcW w:type="dxa" w:w="1585"/>
            <w:tcBorders>
              <w:top w:color="000000" w:sz="4" w:val="single"/>
              <w:left w:color="000000" w:sz="4" w:val="single"/>
              <w:bottom w:color="000000" w:sz="4" w:val="single"/>
              <w:right w:color="000000" w:sz="4" w:val="single"/>
            </w:tcBorders>
            <w:vAlign w:val="center"/>
          </w:tcPr>
          <w:p w14:paraId="E8000000">
            <w:pPr>
              <w:spacing w:after="0"/>
              <w:ind/>
              <w:jc w:val="center"/>
              <w:rPr>
                <w:rFonts w:ascii="Times New Roman" w:hAnsi="Times New Roman"/>
                <w:color w:val="000000"/>
              </w:rPr>
            </w:pPr>
            <w:r>
              <w:rPr>
                <w:rFonts w:ascii="Times New Roman" w:hAnsi="Times New Roman"/>
              </w:rPr>
              <w:t>Количество часов  в неделю</w:t>
            </w:r>
          </w:p>
        </w:tc>
        <w:tc>
          <w:tcPr>
            <w:tcW w:type="dxa" w:w="1879"/>
            <w:tcBorders>
              <w:top w:color="000000" w:sz="4" w:val="single"/>
              <w:left w:color="000000" w:sz="4" w:val="single"/>
              <w:bottom w:color="000000" w:sz="4" w:val="single"/>
              <w:right w:color="000000" w:sz="4" w:val="single"/>
            </w:tcBorders>
            <w:vAlign w:val="center"/>
          </w:tcPr>
          <w:p w14:paraId="E9000000">
            <w:pPr>
              <w:spacing w:after="0"/>
              <w:ind/>
              <w:jc w:val="center"/>
              <w:rPr>
                <w:rFonts w:ascii="Times New Roman" w:hAnsi="Times New Roman"/>
                <w:color w:val="000000"/>
              </w:rPr>
            </w:pPr>
            <w:r>
              <w:rPr>
                <w:rFonts w:ascii="Times New Roman" w:hAnsi="Times New Roman"/>
              </w:rPr>
              <w:t>Количество часов  в год</w:t>
            </w:r>
          </w:p>
        </w:tc>
      </w:tr>
      <w:tr>
        <w:tc>
          <w:tcPr>
            <w:tcW w:type="dxa" w:w="9478"/>
            <w:gridSpan w:val="5"/>
            <w:tcBorders>
              <w:top w:color="000000" w:sz="4" w:val="single"/>
              <w:left w:color="000000" w:sz="4" w:val="single"/>
              <w:bottom w:color="000000" w:sz="4" w:val="single"/>
              <w:right w:color="000000" w:sz="4" w:val="single"/>
            </w:tcBorders>
            <w:vAlign w:val="center"/>
          </w:tcPr>
          <w:p w14:paraId="EA000000">
            <w:pPr>
              <w:spacing w:after="0"/>
              <w:ind/>
              <w:jc w:val="center"/>
              <w:rPr>
                <w:rFonts w:ascii="Times New Roman" w:hAnsi="Times New Roman"/>
                <w:color w:val="000000"/>
              </w:rPr>
            </w:pPr>
            <w:r>
              <w:rPr>
                <w:rFonts w:ascii="Times New Roman" w:hAnsi="Times New Roman"/>
              </w:rPr>
              <w:t>Обязательные учебные предметы и курсы по выбору</w:t>
            </w:r>
          </w:p>
        </w:tc>
      </w:tr>
      <w:tr>
        <w:tc>
          <w:tcPr>
            <w:tcW w:type="dxa" w:w="2123"/>
            <w:vMerge w:val="restart"/>
            <w:tcBorders>
              <w:top w:color="000000" w:sz="4" w:val="single"/>
              <w:left w:color="000000" w:sz="4" w:val="single"/>
              <w:bottom w:color="000000" w:sz="4" w:val="single"/>
              <w:right w:color="000000" w:sz="4" w:val="single"/>
            </w:tcBorders>
            <w:vAlign w:val="bottom"/>
          </w:tcPr>
          <w:p w14:paraId="EB000000">
            <w:pPr>
              <w:spacing w:after="0"/>
              <w:ind/>
              <w:rPr>
                <w:rFonts w:ascii="Times New Roman" w:hAnsi="Times New Roman"/>
                <w:color w:val="000000"/>
              </w:rPr>
            </w:pPr>
            <w:r>
              <w:rPr>
                <w:rFonts w:ascii="Times New Roman" w:hAnsi="Times New Roman"/>
              </w:rPr>
              <w:t>Русский язык и литература</w:t>
            </w:r>
          </w:p>
        </w:tc>
        <w:tc>
          <w:tcPr>
            <w:tcW w:type="dxa" w:w="2452"/>
            <w:tcBorders>
              <w:top w:color="000000" w:sz="4" w:val="single"/>
              <w:left w:color="000000" w:sz="4" w:val="single"/>
              <w:bottom w:color="000000" w:sz="4" w:val="single"/>
              <w:right w:color="000000" w:sz="4" w:val="single"/>
            </w:tcBorders>
          </w:tcPr>
          <w:p w14:paraId="EC000000">
            <w:pPr>
              <w:spacing w:after="0"/>
              <w:ind/>
              <w:rPr>
                <w:rFonts w:ascii="Times New Roman" w:hAnsi="Times New Roman"/>
                <w:color w:val="000000"/>
              </w:rPr>
            </w:pPr>
            <w:r>
              <w:rPr>
                <w:rFonts w:ascii="Times New Roman" w:hAnsi="Times New Roman"/>
                <w:b w:val="1"/>
              </w:rPr>
              <w:t>Русский язык</w:t>
            </w:r>
          </w:p>
        </w:tc>
        <w:tc>
          <w:tcPr>
            <w:tcW w:type="dxa" w:w="1439"/>
            <w:tcBorders>
              <w:top w:color="000000" w:sz="4" w:val="single"/>
              <w:left w:color="000000" w:sz="4" w:val="single"/>
              <w:bottom w:color="000000" w:sz="4" w:val="single"/>
              <w:right w:color="000000" w:sz="4" w:val="single"/>
            </w:tcBorders>
            <w:vAlign w:val="center"/>
          </w:tcPr>
          <w:p w14:paraId="ED000000">
            <w:pPr>
              <w:spacing w:after="0"/>
              <w:ind/>
              <w:jc w:val="center"/>
              <w:rPr>
                <w:rFonts w:ascii="Times New Roman" w:hAnsi="Times New Roman"/>
                <w:color w:val="000000"/>
              </w:rPr>
            </w:pPr>
            <w:r>
              <w:rPr>
                <w:rFonts w:ascii="Times New Roman" w:hAnsi="Times New Roman"/>
              </w:rPr>
              <w:t>Б</w:t>
            </w:r>
          </w:p>
        </w:tc>
        <w:tc>
          <w:tcPr>
            <w:tcW w:type="dxa" w:w="1585"/>
            <w:tcBorders>
              <w:top w:color="000000" w:sz="4" w:val="single"/>
              <w:left w:color="000000" w:sz="4" w:val="single"/>
              <w:bottom w:color="000000" w:sz="4" w:val="single"/>
              <w:right w:color="000000" w:sz="4" w:val="single"/>
            </w:tcBorders>
            <w:vAlign w:val="center"/>
          </w:tcPr>
          <w:p w14:paraId="EE000000">
            <w:pPr>
              <w:spacing w:after="0"/>
              <w:ind/>
              <w:jc w:val="center"/>
              <w:rPr>
                <w:rFonts w:ascii="Times New Roman" w:hAnsi="Times New Roman"/>
                <w:color w:val="000000"/>
              </w:rPr>
            </w:pPr>
            <w:r>
              <w:rPr>
                <w:rFonts w:ascii="Times New Roman" w:hAnsi="Times New Roman"/>
              </w:rPr>
              <w:t>1</w:t>
            </w:r>
          </w:p>
        </w:tc>
        <w:tc>
          <w:tcPr>
            <w:tcW w:type="dxa" w:w="1879"/>
            <w:tcBorders>
              <w:top w:color="000000" w:sz="4" w:val="single"/>
              <w:left w:color="000000" w:sz="4" w:val="single"/>
              <w:bottom w:color="000000" w:sz="4" w:val="single"/>
              <w:right w:color="000000" w:sz="4" w:val="single"/>
            </w:tcBorders>
            <w:vAlign w:val="center"/>
          </w:tcPr>
          <w:p w14:paraId="EF000000">
            <w:pPr>
              <w:spacing w:after="0"/>
              <w:ind/>
              <w:jc w:val="center"/>
              <w:rPr>
                <w:rFonts w:ascii="Times New Roman" w:hAnsi="Times New Roman"/>
                <w:color w:val="000000"/>
              </w:rPr>
            </w:pPr>
            <w:r>
              <w:rPr>
                <w:rFonts w:ascii="Times New Roman" w:hAnsi="Times New Roman"/>
              </w:rPr>
              <w:t>34</w:t>
            </w:r>
          </w:p>
        </w:tc>
      </w:tr>
      <w:tr>
        <w:tc>
          <w:tcPr>
            <w:tcW w:type="dxa" w:w="2123"/>
            <w:gridSpan w:val="1"/>
            <w:vMerge w:val="continue"/>
            <w:tcBorders>
              <w:top w:color="000000" w:sz="4" w:val="single"/>
              <w:left w:color="000000" w:sz="4" w:val="single"/>
              <w:bottom w:color="000000" w:sz="4" w:val="single"/>
              <w:right w:color="000000" w:sz="4" w:val="single"/>
            </w:tcBorders>
            <w:vAlign w:val="bottom"/>
          </w:tcPr>
          <w:p/>
        </w:tc>
        <w:tc>
          <w:tcPr>
            <w:tcW w:type="dxa" w:w="2452"/>
            <w:tcBorders>
              <w:top w:color="000000" w:sz="4" w:val="single"/>
              <w:left w:color="000000" w:sz="4" w:val="single"/>
              <w:bottom w:color="000000" w:sz="4" w:val="single"/>
              <w:right w:color="000000" w:sz="4" w:val="single"/>
            </w:tcBorders>
          </w:tcPr>
          <w:p w14:paraId="F0000000">
            <w:pPr>
              <w:spacing w:after="0"/>
              <w:ind/>
              <w:rPr>
                <w:rFonts w:ascii="Times New Roman" w:hAnsi="Times New Roman"/>
                <w:color w:val="000000"/>
              </w:rPr>
            </w:pPr>
            <w:r>
              <w:rPr>
                <w:rFonts w:ascii="Times New Roman" w:hAnsi="Times New Roman"/>
                <w:b w:val="1"/>
              </w:rPr>
              <w:t>Литература</w:t>
            </w:r>
          </w:p>
        </w:tc>
        <w:tc>
          <w:tcPr>
            <w:tcW w:type="dxa" w:w="1439"/>
            <w:tcBorders>
              <w:top w:color="000000" w:sz="4" w:val="single"/>
              <w:left w:color="000000" w:sz="4" w:val="single"/>
              <w:bottom w:color="000000" w:sz="4" w:val="single"/>
              <w:right w:color="000000" w:sz="4" w:val="single"/>
            </w:tcBorders>
            <w:vAlign w:val="center"/>
          </w:tcPr>
          <w:p w14:paraId="F1000000">
            <w:pPr>
              <w:spacing w:after="0"/>
              <w:ind/>
              <w:jc w:val="center"/>
              <w:rPr>
                <w:rFonts w:ascii="Times New Roman" w:hAnsi="Times New Roman"/>
                <w:color w:val="000000"/>
              </w:rPr>
            </w:pPr>
            <w:r>
              <w:rPr>
                <w:rFonts w:ascii="Times New Roman" w:hAnsi="Times New Roman"/>
              </w:rPr>
              <w:t>Б</w:t>
            </w:r>
          </w:p>
        </w:tc>
        <w:tc>
          <w:tcPr>
            <w:tcW w:type="dxa" w:w="1585"/>
            <w:tcBorders>
              <w:top w:color="000000" w:sz="4" w:val="single"/>
              <w:left w:color="000000" w:sz="4" w:val="single"/>
              <w:bottom w:color="000000" w:sz="4" w:val="single"/>
              <w:right w:color="000000" w:sz="4" w:val="single"/>
            </w:tcBorders>
            <w:vAlign w:val="center"/>
          </w:tcPr>
          <w:p w14:paraId="F2000000">
            <w:pPr>
              <w:spacing w:after="0"/>
              <w:ind/>
              <w:jc w:val="center"/>
              <w:rPr>
                <w:rFonts w:ascii="Times New Roman" w:hAnsi="Times New Roman"/>
                <w:color w:val="000000"/>
              </w:rPr>
            </w:pPr>
            <w:r>
              <w:rPr>
                <w:rFonts w:ascii="Times New Roman" w:hAnsi="Times New Roman"/>
              </w:rPr>
              <w:t>1</w:t>
            </w:r>
          </w:p>
        </w:tc>
        <w:tc>
          <w:tcPr>
            <w:tcW w:type="dxa" w:w="1879"/>
            <w:tcBorders>
              <w:top w:color="000000" w:sz="4" w:val="single"/>
              <w:left w:color="000000" w:sz="4" w:val="single"/>
              <w:bottom w:color="000000" w:sz="4" w:val="single"/>
              <w:right w:color="000000" w:sz="4" w:val="single"/>
            </w:tcBorders>
            <w:vAlign w:val="center"/>
          </w:tcPr>
          <w:p w14:paraId="F3000000">
            <w:pPr>
              <w:spacing w:after="0"/>
              <w:ind/>
              <w:jc w:val="center"/>
              <w:rPr>
                <w:rFonts w:ascii="Times New Roman" w:hAnsi="Times New Roman"/>
                <w:color w:val="000000"/>
              </w:rPr>
            </w:pPr>
            <w:r>
              <w:rPr>
                <w:rFonts w:ascii="Times New Roman" w:hAnsi="Times New Roman"/>
              </w:rPr>
              <w:t>34</w:t>
            </w:r>
          </w:p>
        </w:tc>
      </w:tr>
      <w:tr>
        <w:tc>
          <w:tcPr>
            <w:tcW w:type="dxa" w:w="2123"/>
            <w:tcBorders>
              <w:top w:color="000000" w:sz="4" w:val="single"/>
              <w:left w:color="000000" w:sz="4" w:val="single"/>
              <w:bottom w:color="000000" w:sz="4" w:val="single"/>
              <w:right w:color="000000" w:sz="4" w:val="single"/>
            </w:tcBorders>
            <w:vAlign w:val="center"/>
          </w:tcPr>
          <w:p w14:paraId="F4000000">
            <w:pPr>
              <w:spacing w:after="0" w:line="240" w:lineRule="auto"/>
              <w:ind/>
              <w:rPr>
                <w:rFonts w:ascii="Times New Roman" w:hAnsi="Times New Roman"/>
                <w:color w:val="000000"/>
              </w:rPr>
            </w:pPr>
          </w:p>
          <w:p w14:paraId="F5000000">
            <w:pPr>
              <w:spacing w:after="0" w:line="240" w:lineRule="auto"/>
              <w:ind/>
              <w:rPr>
                <w:rFonts w:ascii="Times New Roman" w:hAnsi="Times New Roman"/>
                <w:color w:val="000000"/>
              </w:rPr>
            </w:pPr>
            <w:r>
              <w:rPr>
                <w:rFonts w:ascii="Times New Roman" w:hAnsi="Times New Roman"/>
                <w:color w:val="000000"/>
              </w:rPr>
              <w:t>Иностранный язык</w:t>
            </w:r>
          </w:p>
        </w:tc>
        <w:tc>
          <w:tcPr>
            <w:tcW w:type="dxa" w:w="2452"/>
            <w:tcBorders>
              <w:top w:color="000000" w:sz="4" w:val="single"/>
              <w:left w:color="000000" w:sz="4" w:val="single"/>
              <w:bottom w:color="000000" w:sz="4" w:val="single"/>
              <w:right w:color="000000" w:sz="4" w:val="single"/>
            </w:tcBorders>
          </w:tcPr>
          <w:p w14:paraId="F6000000">
            <w:pPr>
              <w:spacing w:after="0"/>
              <w:ind/>
              <w:rPr>
                <w:rFonts w:ascii="Times New Roman" w:hAnsi="Times New Roman"/>
                <w:b w:val="1"/>
              </w:rPr>
            </w:pPr>
            <w:r>
              <w:rPr>
                <w:rFonts w:ascii="Times New Roman" w:hAnsi="Times New Roman"/>
                <w:b w:val="1"/>
              </w:rPr>
              <w:t>Английский язык</w:t>
            </w:r>
          </w:p>
        </w:tc>
        <w:tc>
          <w:tcPr>
            <w:tcW w:type="dxa" w:w="1439"/>
            <w:tcBorders>
              <w:top w:color="000000" w:sz="4" w:val="single"/>
              <w:left w:color="000000" w:sz="4" w:val="single"/>
              <w:bottom w:color="000000" w:sz="4" w:val="single"/>
              <w:right w:color="000000" w:sz="4" w:val="single"/>
            </w:tcBorders>
            <w:vAlign w:val="center"/>
          </w:tcPr>
          <w:p w14:paraId="F7000000">
            <w:pPr>
              <w:spacing w:after="0"/>
              <w:ind/>
              <w:jc w:val="center"/>
              <w:rPr>
                <w:rFonts w:ascii="Times New Roman" w:hAnsi="Times New Roman"/>
              </w:rPr>
            </w:pPr>
            <w:r>
              <w:rPr>
                <w:rFonts w:ascii="Times New Roman" w:hAnsi="Times New Roman"/>
              </w:rPr>
              <w:t>Б</w:t>
            </w:r>
          </w:p>
        </w:tc>
        <w:tc>
          <w:tcPr>
            <w:tcW w:type="dxa" w:w="1585"/>
            <w:tcBorders>
              <w:top w:color="000000" w:sz="4" w:val="single"/>
              <w:left w:color="000000" w:sz="4" w:val="single"/>
              <w:bottom w:color="000000" w:sz="4" w:val="single"/>
              <w:right w:color="000000" w:sz="4" w:val="single"/>
            </w:tcBorders>
            <w:vAlign w:val="center"/>
          </w:tcPr>
          <w:p w14:paraId="F8000000">
            <w:pPr>
              <w:spacing w:after="0"/>
              <w:ind/>
              <w:jc w:val="center"/>
              <w:rPr>
                <w:rFonts w:ascii="Times New Roman" w:hAnsi="Times New Roman"/>
              </w:rPr>
            </w:pPr>
            <w:r>
              <w:rPr>
                <w:rFonts w:ascii="Times New Roman" w:hAnsi="Times New Roman"/>
              </w:rPr>
              <w:t>1</w:t>
            </w:r>
          </w:p>
        </w:tc>
        <w:tc>
          <w:tcPr>
            <w:tcW w:type="dxa" w:w="1879"/>
            <w:tcBorders>
              <w:top w:color="000000" w:sz="4" w:val="single"/>
              <w:left w:color="000000" w:sz="4" w:val="single"/>
              <w:bottom w:color="000000" w:sz="4" w:val="single"/>
              <w:right w:color="000000" w:sz="4" w:val="single"/>
            </w:tcBorders>
            <w:vAlign w:val="center"/>
          </w:tcPr>
          <w:p w14:paraId="F9000000">
            <w:pPr>
              <w:spacing w:after="0"/>
              <w:ind/>
              <w:jc w:val="center"/>
              <w:rPr>
                <w:rFonts w:ascii="Times New Roman" w:hAnsi="Times New Roman"/>
              </w:rPr>
            </w:pPr>
            <w:r>
              <w:rPr>
                <w:rFonts w:ascii="Times New Roman" w:hAnsi="Times New Roman"/>
              </w:rPr>
              <w:t>34</w:t>
            </w:r>
          </w:p>
        </w:tc>
      </w:tr>
      <w:tr>
        <w:tc>
          <w:tcPr>
            <w:tcW w:type="dxa" w:w="2123"/>
            <w:tcBorders>
              <w:top w:color="000000" w:sz="4" w:val="single"/>
              <w:left w:color="000000" w:sz="4" w:val="single"/>
              <w:bottom w:color="000000" w:sz="4" w:val="single"/>
              <w:right w:color="000000" w:sz="4" w:val="single"/>
            </w:tcBorders>
            <w:vAlign w:val="bottom"/>
          </w:tcPr>
          <w:p w14:paraId="FA000000">
            <w:pPr>
              <w:spacing w:after="0"/>
              <w:ind/>
              <w:rPr>
                <w:rFonts w:ascii="Times New Roman" w:hAnsi="Times New Roman"/>
                <w:color w:val="000000"/>
              </w:rPr>
            </w:pPr>
            <w:r>
              <w:rPr>
                <w:rFonts w:ascii="Times New Roman" w:hAnsi="Times New Roman"/>
              </w:rPr>
              <w:t>Общественные науки</w:t>
            </w:r>
          </w:p>
        </w:tc>
        <w:tc>
          <w:tcPr>
            <w:tcW w:type="dxa" w:w="2452"/>
            <w:tcBorders>
              <w:top w:color="000000" w:sz="4" w:val="single"/>
              <w:left w:color="000000" w:sz="4" w:val="single"/>
              <w:bottom w:color="000000" w:sz="4" w:val="single"/>
              <w:right w:color="000000" w:sz="4" w:val="single"/>
            </w:tcBorders>
          </w:tcPr>
          <w:p w14:paraId="FB000000">
            <w:pPr>
              <w:spacing w:after="0"/>
              <w:ind/>
              <w:rPr>
                <w:rFonts w:ascii="Times New Roman" w:hAnsi="Times New Roman"/>
                <w:color w:val="000000"/>
              </w:rPr>
            </w:pPr>
            <w:r>
              <w:rPr>
                <w:rFonts w:ascii="Times New Roman" w:hAnsi="Times New Roman"/>
                <w:b w:val="1"/>
              </w:rPr>
              <w:t>Обществознание</w:t>
            </w:r>
          </w:p>
        </w:tc>
        <w:tc>
          <w:tcPr>
            <w:tcW w:type="dxa" w:w="1439"/>
            <w:tcBorders>
              <w:top w:color="000000" w:sz="4" w:val="single"/>
              <w:left w:color="000000" w:sz="4" w:val="single"/>
              <w:bottom w:color="000000" w:sz="4" w:val="single"/>
              <w:right w:color="000000" w:sz="4" w:val="single"/>
            </w:tcBorders>
            <w:vAlign w:val="center"/>
          </w:tcPr>
          <w:p w14:paraId="FC000000">
            <w:pPr>
              <w:spacing w:after="0"/>
              <w:ind/>
              <w:jc w:val="center"/>
              <w:rPr>
                <w:rFonts w:ascii="Times New Roman" w:hAnsi="Times New Roman"/>
                <w:color w:val="000000"/>
              </w:rPr>
            </w:pPr>
            <w:r>
              <w:rPr>
                <w:rFonts w:ascii="Times New Roman" w:hAnsi="Times New Roman"/>
              </w:rPr>
              <w:t>Б</w:t>
            </w:r>
          </w:p>
        </w:tc>
        <w:tc>
          <w:tcPr>
            <w:tcW w:type="dxa" w:w="1585"/>
            <w:tcBorders>
              <w:top w:color="000000" w:sz="4" w:val="single"/>
              <w:left w:color="000000" w:sz="4" w:val="single"/>
              <w:bottom w:color="000000" w:sz="4" w:val="single"/>
              <w:right w:color="000000" w:sz="4" w:val="single"/>
            </w:tcBorders>
            <w:vAlign w:val="center"/>
          </w:tcPr>
          <w:p w14:paraId="FD000000">
            <w:pPr>
              <w:spacing w:after="0"/>
              <w:ind/>
              <w:jc w:val="center"/>
              <w:rPr>
                <w:rFonts w:ascii="Times New Roman" w:hAnsi="Times New Roman"/>
                <w:color w:val="000000"/>
              </w:rPr>
            </w:pPr>
            <w:r>
              <w:rPr>
                <w:rFonts w:ascii="Times New Roman" w:hAnsi="Times New Roman"/>
              </w:rPr>
              <w:t>2</w:t>
            </w:r>
          </w:p>
        </w:tc>
        <w:tc>
          <w:tcPr>
            <w:tcW w:type="dxa" w:w="1879"/>
            <w:tcBorders>
              <w:top w:color="000000" w:sz="4" w:val="single"/>
              <w:left w:color="000000" w:sz="4" w:val="single"/>
              <w:bottom w:color="000000" w:sz="4" w:val="single"/>
              <w:right w:color="000000" w:sz="4" w:val="single"/>
            </w:tcBorders>
            <w:vAlign w:val="center"/>
          </w:tcPr>
          <w:p w14:paraId="FE000000">
            <w:pPr>
              <w:spacing w:after="0"/>
              <w:ind/>
              <w:jc w:val="center"/>
              <w:rPr>
                <w:rFonts w:ascii="Times New Roman" w:hAnsi="Times New Roman"/>
                <w:color w:val="000000"/>
              </w:rPr>
            </w:pPr>
            <w:r>
              <w:rPr>
                <w:rFonts w:ascii="Times New Roman" w:hAnsi="Times New Roman"/>
              </w:rPr>
              <w:t>68</w:t>
            </w:r>
          </w:p>
        </w:tc>
      </w:tr>
      <w:tr>
        <w:tc>
          <w:tcPr>
            <w:tcW w:type="dxa" w:w="2123"/>
            <w:tcBorders>
              <w:top w:color="000000" w:sz="4" w:val="single"/>
              <w:left w:color="000000" w:sz="4" w:val="single"/>
              <w:bottom w:color="000000" w:sz="4" w:val="single"/>
              <w:right w:color="000000" w:sz="4" w:val="single"/>
            </w:tcBorders>
            <w:vAlign w:val="center"/>
          </w:tcPr>
          <w:p w14:paraId="FF000000">
            <w:pPr>
              <w:spacing w:after="0"/>
              <w:ind/>
              <w:rPr>
                <w:rFonts w:ascii="Times New Roman" w:hAnsi="Times New Roman"/>
                <w:color w:val="000000"/>
              </w:rPr>
            </w:pPr>
            <w:r>
              <w:rPr>
                <w:rFonts w:ascii="Times New Roman" w:hAnsi="Times New Roman"/>
              </w:rPr>
              <w:t>Математика и информатика</w:t>
            </w:r>
          </w:p>
        </w:tc>
        <w:tc>
          <w:tcPr>
            <w:tcW w:type="dxa" w:w="2452"/>
            <w:tcBorders>
              <w:top w:color="000000" w:sz="4" w:val="single"/>
              <w:left w:color="000000" w:sz="4" w:val="single"/>
              <w:bottom w:color="000000" w:sz="4" w:val="single"/>
              <w:right w:color="000000" w:sz="4" w:val="single"/>
            </w:tcBorders>
          </w:tcPr>
          <w:p w14:paraId="00010000">
            <w:pPr>
              <w:spacing w:after="0"/>
              <w:ind/>
              <w:rPr>
                <w:rFonts w:ascii="Times New Roman" w:hAnsi="Times New Roman"/>
                <w:color w:val="000000"/>
              </w:rPr>
            </w:pPr>
            <w:r>
              <w:rPr>
                <w:rFonts w:ascii="Times New Roman" w:hAnsi="Times New Roman"/>
                <w:b w:val="1"/>
              </w:rPr>
              <w:t>Математика</w:t>
            </w:r>
            <w:r>
              <w:rPr>
                <w:rFonts w:ascii="Times New Roman" w:hAnsi="Times New Roman"/>
              </w:rPr>
              <w:t>: алгебра и начала математического анализа</w:t>
            </w:r>
          </w:p>
        </w:tc>
        <w:tc>
          <w:tcPr>
            <w:tcW w:type="dxa" w:w="1439"/>
            <w:tcBorders>
              <w:top w:color="000000" w:sz="4" w:val="single"/>
              <w:left w:color="000000" w:sz="4" w:val="single"/>
              <w:bottom w:color="000000" w:sz="4" w:val="single"/>
              <w:right w:color="000000" w:sz="4" w:val="single"/>
            </w:tcBorders>
            <w:vAlign w:val="center"/>
          </w:tcPr>
          <w:p w14:paraId="01010000">
            <w:pPr>
              <w:spacing w:after="0"/>
              <w:ind/>
              <w:jc w:val="center"/>
              <w:rPr>
                <w:rFonts w:ascii="Times New Roman" w:hAnsi="Times New Roman"/>
                <w:color w:val="000000"/>
              </w:rPr>
            </w:pPr>
            <w:r>
              <w:rPr>
                <w:rFonts w:ascii="Times New Roman" w:hAnsi="Times New Roman"/>
              </w:rPr>
              <w:t>У</w:t>
            </w:r>
          </w:p>
        </w:tc>
        <w:tc>
          <w:tcPr>
            <w:tcW w:type="dxa" w:w="1585"/>
            <w:tcBorders>
              <w:top w:color="000000" w:sz="4" w:val="single"/>
              <w:left w:color="000000" w:sz="4" w:val="single"/>
              <w:bottom w:color="000000" w:sz="4" w:val="single"/>
              <w:right w:color="000000" w:sz="4" w:val="single"/>
            </w:tcBorders>
            <w:vAlign w:val="center"/>
          </w:tcPr>
          <w:p w14:paraId="02010000">
            <w:pPr>
              <w:spacing w:after="0"/>
              <w:ind/>
              <w:jc w:val="center"/>
              <w:rPr>
                <w:rFonts w:ascii="Times New Roman" w:hAnsi="Times New Roman"/>
                <w:color w:val="000000"/>
              </w:rPr>
            </w:pPr>
            <w:r>
              <w:rPr>
                <w:rFonts w:ascii="Times New Roman" w:hAnsi="Times New Roman"/>
              </w:rPr>
              <w:t>2</w:t>
            </w:r>
          </w:p>
        </w:tc>
        <w:tc>
          <w:tcPr>
            <w:tcW w:type="dxa" w:w="1879"/>
            <w:tcBorders>
              <w:top w:color="000000" w:sz="4" w:val="single"/>
              <w:left w:color="000000" w:sz="4" w:val="single"/>
              <w:bottom w:color="000000" w:sz="4" w:val="single"/>
              <w:right w:color="000000" w:sz="4" w:val="single"/>
            </w:tcBorders>
            <w:vAlign w:val="center"/>
          </w:tcPr>
          <w:p w14:paraId="03010000">
            <w:pPr>
              <w:spacing w:after="0"/>
              <w:ind/>
              <w:jc w:val="center"/>
              <w:rPr>
                <w:rFonts w:ascii="Times New Roman" w:hAnsi="Times New Roman"/>
                <w:color w:val="000000"/>
              </w:rPr>
            </w:pPr>
            <w:r>
              <w:rPr>
                <w:rFonts w:ascii="Times New Roman" w:hAnsi="Times New Roman"/>
              </w:rPr>
              <w:t>68</w:t>
            </w:r>
          </w:p>
        </w:tc>
      </w:tr>
      <w:tr>
        <w:tc>
          <w:tcPr>
            <w:tcW w:type="dxa" w:w="6014"/>
            <w:gridSpan w:val="3"/>
            <w:tcBorders>
              <w:top w:color="000000" w:sz="4" w:val="single"/>
              <w:left w:color="000000" w:sz="4" w:val="single"/>
              <w:bottom w:color="000000" w:sz="4" w:val="single"/>
              <w:right w:color="000000" w:sz="4" w:val="single"/>
            </w:tcBorders>
          </w:tcPr>
          <w:p w14:paraId="04010000">
            <w:pPr>
              <w:spacing w:after="0"/>
              <w:ind/>
              <w:jc w:val="center"/>
              <w:rPr>
                <w:rFonts w:ascii="Times New Roman" w:hAnsi="Times New Roman"/>
                <w:color w:val="000000"/>
              </w:rPr>
            </w:pPr>
            <w:r>
              <w:rPr>
                <w:rFonts w:ascii="Times New Roman" w:hAnsi="Times New Roman"/>
              </w:rPr>
              <w:t>ИТОГО</w:t>
            </w:r>
          </w:p>
          <w:p w14:paraId="05010000">
            <w:pPr>
              <w:spacing w:after="0"/>
              <w:ind/>
              <w:rPr>
                <w:rFonts w:ascii="Times New Roman" w:hAnsi="Times New Roman"/>
                <w:color w:val="000000"/>
              </w:rPr>
            </w:pPr>
            <w:r>
              <w:rPr>
                <w:rFonts w:ascii="Times New Roman" w:hAnsi="Times New Roman"/>
              </w:rPr>
              <w:t> </w:t>
            </w:r>
          </w:p>
        </w:tc>
        <w:tc>
          <w:tcPr>
            <w:tcW w:type="dxa" w:w="1585"/>
            <w:tcBorders>
              <w:top w:color="000000" w:sz="4" w:val="single"/>
              <w:left w:color="000000" w:sz="4" w:val="single"/>
              <w:bottom w:color="000000" w:sz="4" w:val="single"/>
              <w:right w:color="000000" w:sz="4" w:val="single"/>
            </w:tcBorders>
            <w:vAlign w:val="center"/>
          </w:tcPr>
          <w:p w14:paraId="06010000">
            <w:pPr>
              <w:spacing w:after="0"/>
              <w:ind/>
              <w:jc w:val="center"/>
              <w:rPr>
                <w:rFonts w:ascii="Times New Roman" w:hAnsi="Times New Roman"/>
                <w:color w:val="000000"/>
              </w:rPr>
            </w:pPr>
            <w:r>
              <w:rPr>
                <w:rFonts w:ascii="Times New Roman" w:hAnsi="Times New Roman"/>
              </w:rPr>
              <w:t>7</w:t>
            </w:r>
          </w:p>
        </w:tc>
        <w:tc>
          <w:tcPr>
            <w:tcW w:type="dxa" w:w="1879"/>
            <w:tcBorders>
              <w:top w:color="000000" w:sz="4" w:val="single"/>
              <w:left w:color="000000" w:sz="4" w:val="single"/>
              <w:bottom w:color="000000" w:sz="4" w:val="single"/>
              <w:right w:color="000000" w:sz="4" w:val="single"/>
            </w:tcBorders>
            <w:vAlign w:val="center"/>
          </w:tcPr>
          <w:p w14:paraId="07010000">
            <w:pPr>
              <w:spacing w:after="0"/>
              <w:ind/>
              <w:jc w:val="center"/>
              <w:rPr>
                <w:rFonts w:ascii="Times New Roman" w:hAnsi="Times New Roman"/>
                <w:color w:val="000000"/>
              </w:rPr>
            </w:pPr>
            <w:r>
              <w:rPr>
                <w:rFonts w:ascii="Times New Roman" w:hAnsi="Times New Roman"/>
              </w:rPr>
              <w:t>2</w:t>
            </w:r>
            <w:r>
              <w:rPr>
                <w:rFonts w:ascii="Times New Roman" w:hAnsi="Times New Roman"/>
              </w:rPr>
              <w:t>38</w:t>
            </w:r>
          </w:p>
        </w:tc>
      </w:tr>
      <w:tr>
        <w:tc>
          <w:tcPr>
            <w:tcW w:type="dxa" w:w="9478"/>
            <w:gridSpan w:val="5"/>
            <w:tcBorders>
              <w:top w:color="000000" w:sz="4" w:val="single"/>
              <w:left w:color="000000" w:sz="4" w:val="single"/>
              <w:bottom w:color="000000" w:sz="4" w:val="single"/>
              <w:right w:color="000000" w:sz="4" w:val="single"/>
            </w:tcBorders>
            <w:vAlign w:val="center"/>
          </w:tcPr>
          <w:p w14:paraId="08010000">
            <w:pPr>
              <w:spacing w:after="0"/>
              <w:ind/>
              <w:jc w:val="center"/>
              <w:rPr>
                <w:rFonts w:ascii="Times New Roman" w:hAnsi="Times New Roman"/>
                <w:color w:val="000000"/>
              </w:rPr>
            </w:pPr>
            <w:r>
              <w:rPr>
                <w:rFonts w:ascii="Times New Roman" w:hAnsi="Times New Roman"/>
              </w:rPr>
              <w:t>Учебные предметы на базовом уровне по выбору</w:t>
            </w:r>
          </w:p>
        </w:tc>
      </w:tr>
      <w:tr>
        <w:tc>
          <w:tcPr>
            <w:tcW w:type="dxa" w:w="2123"/>
            <w:tcBorders>
              <w:top w:color="000000" w:sz="4" w:val="single"/>
              <w:left w:color="000000" w:sz="4" w:val="single"/>
              <w:bottom w:color="000000" w:sz="4" w:val="single"/>
              <w:right w:color="000000" w:sz="4" w:val="single"/>
            </w:tcBorders>
            <w:vAlign w:val="bottom"/>
          </w:tcPr>
          <w:p w14:paraId="09010000">
            <w:pPr>
              <w:spacing w:after="0"/>
              <w:ind/>
              <w:rPr>
                <w:rFonts w:ascii="Times New Roman" w:hAnsi="Times New Roman"/>
                <w:color w:val="000000"/>
              </w:rPr>
            </w:pPr>
            <w:r>
              <w:rPr>
                <w:rFonts w:ascii="Times New Roman" w:hAnsi="Times New Roman"/>
              </w:rPr>
              <w:t>Математика и информатика</w:t>
            </w:r>
          </w:p>
        </w:tc>
        <w:tc>
          <w:tcPr>
            <w:tcW w:type="dxa" w:w="2452"/>
            <w:tcBorders>
              <w:top w:color="000000" w:sz="4" w:val="single"/>
              <w:left w:color="000000" w:sz="4" w:val="single"/>
              <w:bottom w:color="000000" w:sz="4" w:val="single"/>
              <w:right w:color="000000" w:sz="4" w:val="single"/>
            </w:tcBorders>
          </w:tcPr>
          <w:p w14:paraId="0A010000">
            <w:pPr>
              <w:spacing w:after="0"/>
              <w:ind/>
              <w:rPr>
                <w:rFonts w:ascii="Times New Roman" w:hAnsi="Times New Roman"/>
                <w:color w:val="000000"/>
              </w:rPr>
            </w:pPr>
            <w:r>
              <w:rPr>
                <w:rFonts w:ascii="Times New Roman" w:hAnsi="Times New Roman"/>
              </w:rPr>
              <w:t>Информатика</w:t>
            </w:r>
          </w:p>
        </w:tc>
        <w:tc>
          <w:tcPr>
            <w:tcW w:type="dxa" w:w="1439"/>
            <w:tcBorders>
              <w:top w:color="000000" w:sz="4" w:val="single"/>
              <w:left w:color="000000" w:sz="4" w:val="single"/>
              <w:bottom w:color="000000" w:sz="4" w:val="single"/>
              <w:right w:color="000000" w:sz="4" w:val="single"/>
            </w:tcBorders>
            <w:vAlign w:val="center"/>
          </w:tcPr>
          <w:p w14:paraId="0B010000">
            <w:pPr>
              <w:spacing w:after="0"/>
              <w:ind/>
              <w:jc w:val="center"/>
              <w:rPr>
                <w:rFonts w:ascii="Times New Roman" w:hAnsi="Times New Roman"/>
                <w:color w:val="000000"/>
              </w:rPr>
            </w:pPr>
            <w:r>
              <w:rPr>
                <w:rFonts w:ascii="Times New Roman" w:hAnsi="Times New Roman"/>
              </w:rPr>
              <w:t>Б</w:t>
            </w:r>
          </w:p>
        </w:tc>
        <w:tc>
          <w:tcPr>
            <w:tcW w:type="dxa" w:w="1585"/>
            <w:tcBorders>
              <w:top w:color="000000" w:sz="4" w:val="single"/>
              <w:left w:color="000000" w:sz="4" w:val="single"/>
              <w:bottom w:color="000000" w:sz="4" w:val="single"/>
              <w:right w:color="000000" w:sz="4" w:val="single"/>
            </w:tcBorders>
            <w:vAlign w:val="center"/>
          </w:tcPr>
          <w:p w14:paraId="0C010000">
            <w:pPr>
              <w:spacing w:after="0"/>
              <w:ind/>
              <w:jc w:val="center"/>
              <w:rPr>
                <w:rFonts w:ascii="Times New Roman" w:hAnsi="Times New Roman"/>
                <w:color w:val="000000"/>
              </w:rPr>
            </w:pPr>
            <w:r>
              <w:rPr>
                <w:rFonts w:ascii="Times New Roman" w:hAnsi="Times New Roman"/>
              </w:rPr>
              <w:t>2</w:t>
            </w:r>
          </w:p>
        </w:tc>
        <w:tc>
          <w:tcPr>
            <w:tcW w:type="dxa" w:w="1879"/>
            <w:tcBorders>
              <w:top w:color="000000" w:sz="4" w:val="single"/>
              <w:left w:color="000000" w:sz="4" w:val="single"/>
              <w:bottom w:color="000000" w:sz="4" w:val="single"/>
              <w:right w:color="000000" w:sz="4" w:val="single"/>
            </w:tcBorders>
            <w:vAlign w:val="center"/>
          </w:tcPr>
          <w:p w14:paraId="0D010000">
            <w:pPr>
              <w:spacing w:after="0"/>
              <w:ind/>
              <w:jc w:val="center"/>
              <w:rPr>
                <w:rFonts w:ascii="Times New Roman" w:hAnsi="Times New Roman"/>
                <w:color w:val="000000"/>
              </w:rPr>
            </w:pPr>
            <w:r>
              <w:rPr>
                <w:rFonts w:ascii="Times New Roman" w:hAnsi="Times New Roman"/>
              </w:rPr>
              <w:t>68</w:t>
            </w:r>
          </w:p>
        </w:tc>
      </w:tr>
      <w:tr>
        <w:tc>
          <w:tcPr>
            <w:tcW w:type="dxa" w:w="2123"/>
            <w:vMerge w:val="restart"/>
            <w:tcBorders>
              <w:top w:color="000000" w:sz="4" w:val="single"/>
              <w:left w:color="000000" w:sz="4" w:val="single"/>
              <w:bottom w:color="000000" w:sz="4" w:val="single"/>
              <w:right w:color="000000" w:sz="4" w:val="single"/>
            </w:tcBorders>
            <w:vAlign w:val="center"/>
          </w:tcPr>
          <w:p w14:paraId="0E010000">
            <w:pPr>
              <w:spacing w:after="0" w:line="240" w:lineRule="auto"/>
              <w:ind/>
              <w:rPr>
                <w:rFonts w:ascii="Times New Roman" w:hAnsi="Times New Roman"/>
                <w:color w:val="000000"/>
              </w:rPr>
            </w:pPr>
          </w:p>
          <w:p w14:paraId="0F010000">
            <w:pPr>
              <w:spacing w:after="0" w:line="240" w:lineRule="auto"/>
              <w:ind/>
              <w:rPr>
                <w:rFonts w:ascii="Times New Roman" w:hAnsi="Times New Roman"/>
                <w:color w:val="000000"/>
              </w:rPr>
            </w:pPr>
            <w:r>
              <w:rPr>
                <w:rFonts w:ascii="Times New Roman" w:hAnsi="Times New Roman"/>
                <w:color w:val="000000"/>
              </w:rPr>
              <w:t>Естественные науки</w:t>
            </w:r>
          </w:p>
        </w:tc>
        <w:tc>
          <w:tcPr>
            <w:tcW w:type="dxa" w:w="2452"/>
            <w:tcBorders>
              <w:top w:color="000000" w:sz="4" w:val="single"/>
              <w:left w:color="000000" w:sz="4" w:val="single"/>
              <w:bottom w:color="000000" w:sz="4" w:val="single"/>
              <w:right w:color="000000" w:sz="4" w:val="single"/>
            </w:tcBorders>
          </w:tcPr>
          <w:p w14:paraId="10010000">
            <w:pPr>
              <w:spacing w:after="0"/>
              <w:ind/>
              <w:rPr>
                <w:rFonts w:ascii="Times New Roman" w:hAnsi="Times New Roman"/>
              </w:rPr>
            </w:pPr>
            <w:r>
              <w:rPr>
                <w:rFonts w:ascii="Times New Roman" w:hAnsi="Times New Roman"/>
              </w:rPr>
              <w:t>Физика</w:t>
            </w:r>
          </w:p>
        </w:tc>
        <w:tc>
          <w:tcPr>
            <w:tcW w:type="dxa" w:w="1439"/>
            <w:tcBorders>
              <w:top w:color="000000" w:sz="4" w:val="single"/>
              <w:left w:color="000000" w:sz="4" w:val="single"/>
              <w:bottom w:color="000000" w:sz="4" w:val="single"/>
              <w:right w:color="000000" w:sz="4" w:val="single"/>
            </w:tcBorders>
            <w:vAlign w:val="center"/>
          </w:tcPr>
          <w:p w14:paraId="11010000">
            <w:pPr>
              <w:spacing w:after="0"/>
              <w:ind/>
              <w:jc w:val="center"/>
              <w:rPr>
                <w:rFonts w:ascii="Times New Roman" w:hAnsi="Times New Roman"/>
              </w:rPr>
            </w:pPr>
            <w:r>
              <w:rPr>
                <w:rFonts w:ascii="Times New Roman" w:hAnsi="Times New Roman"/>
              </w:rPr>
              <w:t>Б</w:t>
            </w:r>
          </w:p>
        </w:tc>
        <w:tc>
          <w:tcPr>
            <w:tcW w:type="dxa" w:w="1585"/>
            <w:tcBorders>
              <w:top w:color="000000" w:sz="4" w:val="single"/>
              <w:left w:color="000000" w:sz="4" w:val="single"/>
              <w:bottom w:color="000000" w:sz="4" w:val="single"/>
              <w:right w:color="000000" w:sz="4" w:val="single"/>
            </w:tcBorders>
            <w:vAlign w:val="center"/>
          </w:tcPr>
          <w:p w14:paraId="12010000">
            <w:pPr>
              <w:spacing w:after="0"/>
              <w:ind/>
              <w:jc w:val="center"/>
              <w:rPr>
                <w:rFonts w:ascii="Times New Roman" w:hAnsi="Times New Roman"/>
              </w:rPr>
            </w:pPr>
            <w:r>
              <w:rPr>
                <w:rFonts w:ascii="Times New Roman" w:hAnsi="Times New Roman"/>
              </w:rPr>
              <w:t>1</w:t>
            </w:r>
          </w:p>
        </w:tc>
        <w:tc>
          <w:tcPr>
            <w:tcW w:type="dxa" w:w="1879"/>
            <w:tcBorders>
              <w:top w:color="000000" w:sz="4" w:val="single"/>
              <w:left w:color="000000" w:sz="4" w:val="single"/>
              <w:bottom w:color="000000" w:sz="4" w:val="single"/>
              <w:right w:color="000000" w:sz="4" w:val="single"/>
            </w:tcBorders>
            <w:vAlign w:val="center"/>
          </w:tcPr>
          <w:p w14:paraId="13010000">
            <w:pPr>
              <w:spacing w:after="0"/>
              <w:ind/>
              <w:jc w:val="center"/>
              <w:rPr>
                <w:rFonts w:ascii="Times New Roman" w:hAnsi="Times New Roman"/>
              </w:rPr>
            </w:pPr>
            <w:r>
              <w:rPr>
                <w:rFonts w:ascii="Times New Roman" w:hAnsi="Times New Roman"/>
              </w:rPr>
              <w:t>34</w:t>
            </w:r>
          </w:p>
        </w:tc>
      </w:tr>
      <w:tr>
        <w:tc>
          <w:tcPr>
            <w:tcW w:type="dxa" w:w="2123"/>
            <w:gridSpan w:val="1"/>
            <w:vMerge w:val="continue"/>
            <w:tcBorders>
              <w:top w:color="000000" w:sz="4" w:val="single"/>
              <w:left w:color="000000" w:sz="4" w:val="single"/>
              <w:bottom w:color="000000" w:sz="4" w:val="single"/>
              <w:right w:color="000000" w:sz="4" w:val="single"/>
            </w:tcBorders>
            <w:vAlign w:val="center"/>
          </w:tcPr>
          <w:p/>
        </w:tc>
        <w:tc>
          <w:tcPr>
            <w:tcW w:type="dxa" w:w="2452"/>
            <w:tcBorders>
              <w:top w:color="000000" w:sz="4" w:val="single"/>
              <w:left w:color="000000" w:sz="4" w:val="single"/>
              <w:bottom w:color="000000" w:sz="4" w:val="single"/>
              <w:right w:color="000000" w:sz="4" w:val="single"/>
            </w:tcBorders>
          </w:tcPr>
          <w:p w14:paraId="14010000">
            <w:pPr>
              <w:spacing w:after="0"/>
              <w:ind/>
              <w:rPr>
                <w:rFonts w:ascii="Times New Roman" w:hAnsi="Times New Roman"/>
                <w:color w:val="000000"/>
              </w:rPr>
            </w:pPr>
            <w:r>
              <w:rPr>
                <w:rFonts w:ascii="Times New Roman" w:hAnsi="Times New Roman"/>
              </w:rPr>
              <w:t>Химия</w:t>
            </w:r>
          </w:p>
        </w:tc>
        <w:tc>
          <w:tcPr>
            <w:tcW w:type="dxa" w:w="1439"/>
            <w:tcBorders>
              <w:top w:color="000000" w:sz="4" w:val="single"/>
              <w:left w:color="000000" w:sz="4" w:val="single"/>
              <w:bottom w:color="000000" w:sz="4" w:val="single"/>
              <w:right w:color="000000" w:sz="4" w:val="single"/>
            </w:tcBorders>
            <w:vAlign w:val="center"/>
          </w:tcPr>
          <w:p w14:paraId="15010000">
            <w:pPr>
              <w:spacing w:after="0"/>
              <w:ind/>
              <w:jc w:val="center"/>
              <w:rPr>
                <w:rFonts w:ascii="Times New Roman" w:hAnsi="Times New Roman"/>
                <w:color w:val="000000"/>
              </w:rPr>
            </w:pPr>
            <w:r>
              <w:rPr>
                <w:rFonts w:ascii="Times New Roman" w:hAnsi="Times New Roman"/>
              </w:rPr>
              <w:t>Б</w:t>
            </w:r>
          </w:p>
        </w:tc>
        <w:tc>
          <w:tcPr>
            <w:tcW w:type="dxa" w:w="1585"/>
            <w:tcBorders>
              <w:top w:color="000000" w:sz="4" w:val="single"/>
              <w:left w:color="000000" w:sz="4" w:val="single"/>
              <w:bottom w:color="000000" w:sz="4" w:val="single"/>
              <w:right w:color="000000" w:sz="4" w:val="single"/>
            </w:tcBorders>
            <w:vAlign w:val="center"/>
          </w:tcPr>
          <w:p w14:paraId="16010000">
            <w:pPr>
              <w:spacing w:after="0"/>
              <w:ind/>
              <w:jc w:val="center"/>
              <w:rPr>
                <w:rFonts w:ascii="Times New Roman" w:hAnsi="Times New Roman"/>
                <w:color w:val="000000"/>
              </w:rPr>
            </w:pPr>
            <w:r>
              <w:rPr>
                <w:rFonts w:ascii="Times New Roman" w:hAnsi="Times New Roman"/>
              </w:rPr>
              <w:t>1</w:t>
            </w:r>
          </w:p>
        </w:tc>
        <w:tc>
          <w:tcPr>
            <w:tcW w:type="dxa" w:w="1879"/>
            <w:tcBorders>
              <w:top w:color="000000" w:sz="4" w:val="single"/>
              <w:left w:color="000000" w:sz="4" w:val="single"/>
              <w:bottom w:color="000000" w:sz="4" w:val="single"/>
              <w:right w:color="000000" w:sz="4" w:val="single"/>
            </w:tcBorders>
            <w:vAlign w:val="center"/>
          </w:tcPr>
          <w:p w14:paraId="17010000">
            <w:pPr>
              <w:spacing w:after="0"/>
              <w:ind/>
              <w:jc w:val="center"/>
              <w:rPr>
                <w:rFonts w:ascii="Times New Roman" w:hAnsi="Times New Roman"/>
                <w:color w:val="000000"/>
              </w:rPr>
            </w:pPr>
            <w:r>
              <w:rPr>
                <w:rFonts w:ascii="Times New Roman" w:hAnsi="Times New Roman"/>
              </w:rPr>
              <w:t>34</w:t>
            </w:r>
          </w:p>
        </w:tc>
      </w:tr>
      <w:tr>
        <w:tc>
          <w:tcPr>
            <w:tcW w:type="dxa" w:w="2123"/>
            <w:gridSpan w:val="1"/>
            <w:vMerge w:val="continue"/>
            <w:tcBorders>
              <w:top w:color="000000" w:sz="4" w:val="single"/>
              <w:left w:color="000000" w:sz="4" w:val="single"/>
              <w:bottom w:color="000000" w:sz="4" w:val="single"/>
              <w:right w:color="000000" w:sz="4" w:val="single"/>
            </w:tcBorders>
            <w:vAlign w:val="center"/>
          </w:tcPr>
          <w:p/>
        </w:tc>
        <w:tc>
          <w:tcPr>
            <w:tcW w:type="dxa" w:w="2452"/>
            <w:tcBorders>
              <w:top w:color="000000" w:sz="4" w:val="single"/>
              <w:left w:color="000000" w:sz="4" w:val="single"/>
              <w:bottom w:color="000000" w:sz="4" w:val="single"/>
              <w:right w:color="000000" w:sz="4" w:val="single"/>
            </w:tcBorders>
          </w:tcPr>
          <w:p w14:paraId="18010000">
            <w:pPr>
              <w:spacing w:after="0"/>
              <w:ind/>
              <w:rPr>
                <w:rFonts w:ascii="Times New Roman" w:hAnsi="Times New Roman"/>
                <w:color w:val="000000"/>
              </w:rPr>
            </w:pPr>
            <w:r>
              <w:rPr>
                <w:rFonts w:ascii="Times New Roman" w:hAnsi="Times New Roman"/>
              </w:rPr>
              <w:t>Биология</w:t>
            </w:r>
          </w:p>
        </w:tc>
        <w:tc>
          <w:tcPr>
            <w:tcW w:type="dxa" w:w="1439"/>
            <w:tcBorders>
              <w:top w:color="000000" w:sz="4" w:val="single"/>
              <w:left w:color="000000" w:sz="4" w:val="single"/>
              <w:bottom w:color="000000" w:sz="4" w:val="single"/>
              <w:right w:color="000000" w:sz="4" w:val="single"/>
            </w:tcBorders>
            <w:vAlign w:val="center"/>
          </w:tcPr>
          <w:p w14:paraId="19010000">
            <w:pPr>
              <w:spacing w:after="0"/>
              <w:ind/>
              <w:jc w:val="center"/>
              <w:rPr>
                <w:rFonts w:ascii="Times New Roman" w:hAnsi="Times New Roman"/>
                <w:color w:val="000000"/>
              </w:rPr>
            </w:pPr>
            <w:r>
              <w:rPr>
                <w:rFonts w:ascii="Times New Roman" w:hAnsi="Times New Roman"/>
              </w:rPr>
              <w:t>Б</w:t>
            </w:r>
          </w:p>
        </w:tc>
        <w:tc>
          <w:tcPr>
            <w:tcW w:type="dxa" w:w="1585"/>
            <w:tcBorders>
              <w:top w:color="000000" w:sz="4" w:val="single"/>
              <w:left w:color="000000" w:sz="4" w:val="single"/>
              <w:bottom w:color="000000" w:sz="4" w:val="single"/>
              <w:right w:color="000000" w:sz="4" w:val="single"/>
            </w:tcBorders>
            <w:vAlign w:val="center"/>
          </w:tcPr>
          <w:p w14:paraId="1A010000">
            <w:pPr>
              <w:spacing w:after="0"/>
              <w:ind/>
              <w:jc w:val="center"/>
              <w:rPr>
                <w:rFonts w:ascii="Times New Roman" w:hAnsi="Times New Roman"/>
                <w:color w:val="000000"/>
              </w:rPr>
            </w:pPr>
            <w:r>
              <w:rPr>
                <w:rFonts w:ascii="Times New Roman" w:hAnsi="Times New Roman"/>
              </w:rPr>
              <w:t>1</w:t>
            </w:r>
          </w:p>
        </w:tc>
        <w:tc>
          <w:tcPr>
            <w:tcW w:type="dxa" w:w="1879"/>
            <w:tcBorders>
              <w:top w:color="000000" w:sz="4" w:val="single"/>
              <w:left w:color="000000" w:sz="4" w:val="single"/>
              <w:bottom w:color="000000" w:sz="4" w:val="single"/>
              <w:right w:color="000000" w:sz="4" w:val="single"/>
            </w:tcBorders>
            <w:vAlign w:val="center"/>
          </w:tcPr>
          <w:p w14:paraId="1B010000">
            <w:pPr>
              <w:spacing w:after="0"/>
              <w:ind/>
              <w:jc w:val="center"/>
              <w:rPr>
                <w:rFonts w:ascii="Times New Roman" w:hAnsi="Times New Roman"/>
                <w:color w:val="000000"/>
              </w:rPr>
            </w:pPr>
            <w:r>
              <w:rPr>
                <w:rFonts w:ascii="Times New Roman" w:hAnsi="Times New Roman"/>
              </w:rPr>
              <w:t>34</w:t>
            </w:r>
          </w:p>
        </w:tc>
      </w:tr>
      <w:tr>
        <w:tc>
          <w:tcPr>
            <w:tcW w:type="dxa" w:w="2123"/>
            <w:tcBorders>
              <w:top w:color="000000" w:sz="4" w:val="single"/>
              <w:left w:color="000000" w:sz="4" w:val="single"/>
              <w:bottom w:color="000000" w:sz="4" w:val="single"/>
              <w:right w:color="000000" w:sz="4" w:val="single"/>
            </w:tcBorders>
            <w:vAlign w:val="center"/>
          </w:tcPr>
          <w:p w14:paraId="1C010000">
            <w:pPr>
              <w:spacing w:after="0"/>
              <w:ind/>
              <w:jc w:val="center"/>
              <w:rPr>
                <w:rFonts w:ascii="Times New Roman" w:hAnsi="Times New Roman"/>
                <w:color w:val="000000"/>
              </w:rPr>
            </w:pPr>
            <w:r>
              <w:rPr>
                <w:rFonts w:ascii="Times New Roman" w:hAnsi="Times New Roman"/>
              </w:rPr>
              <w:t>Общественные науки</w:t>
            </w:r>
          </w:p>
        </w:tc>
        <w:tc>
          <w:tcPr>
            <w:tcW w:type="dxa" w:w="2452"/>
            <w:tcBorders>
              <w:top w:color="000000" w:sz="4" w:val="single"/>
              <w:left w:color="000000" w:sz="4" w:val="single"/>
              <w:bottom w:color="000000" w:sz="4" w:val="single"/>
              <w:right w:color="000000" w:sz="4" w:val="single"/>
            </w:tcBorders>
          </w:tcPr>
          <w:p w14:paraId="1D010000">
            <w:pPr>
              <w:spacing w:after="0"/>
              <w:ind/>
              <w:rPr>
                <w:rFonts w:ascii="Times New Roman" w:hAnsi="Times New Roman"/>
                <w:color w:val="000000"/>
              </w:rPr>
            </w:pPr>
            <w:r>
              <w:rPr>
                <w:rFonts w:ascii="Times New Roman" w:hAnsi="Times New Roman"/>
              </w:rPr>
              <w:t>География</w:t>
            </w:r>
          </w:p>
        </w:tc>
        <w:tc>
          <w:tcPr>
            <w:tcW w:type="dxa" w:w="1439"/>
            <w:tcBorders>
              <w:top w:color="000000" w:sz="4" w:val="single"/>
              <w:left w:color="000000" w:sz="4" w:val="single"/>
              <w:bottom w:color="000000" w:sz="4" w:val="single"/>
              <w:right w:color="000000" w:sz="4" w:val="single"/>
            </w:tcBorders>
            <w:vAlign w:val="center"/>
          </w:tcPr>
          <w:p w14:paraId="1E010000">
            <w:pPr>
              <w:spacing w:after="0"/>
              <w:ind/>
              <w:jc w:val="center"/>
              <w:rPr>
                <w:rFonts w:ascii="Times New Roman" w:hAnsi="Times New Roman"/>
                <w:color w:val="000000"/>
              </w:rPr>
            </w:pPr>
            <w:r>
              <w:rPr>
                <w:rFonts w:ascii="Times New Roman" w:hAnsi="Times New Roman"/>
              </w:rPr>
              <w:t>Б</w:t>
            </w:r>
          </w:p>
        </w:tc>
        <w:tc>
          <w:tcPr>
            <w:tcW w:type="dxa" w:w="1585"/>
            <w:tcBorders>
              <w:top w:color="000000" w:sz="4" w:val="single"/>
              <w:left w:color="000000" w:sz="4" w:val="single"/>
              <w:bottom w:color="000000" w:sz="4" w:val="single"/>
              <w:right w:color="000000" w:sz="4" w:val="single"/>
            </w:tcBorders>
            <w:vAlign w:val="center"/>
          </w:tcPr>
          <w:p w14:paraId="1F010000">
            <w:pPr>
              <w:spacing w:after="0"/>
              <w:ind/>
              <w:jc w:val="center"/>
              <w:rPr>
                <w:rFonts w:ascii="Times New Roman" w:hAnsi="Times New Roman"/>
                <w:color w:val="000000"/>
              </w:rPr>
            </w:pPr>
            <w:r>
              <w:rPr>
                <w:rFonts w:ascii="Times New Roman" w:hAnsi="Times New Roman"/>
              </w:rPr>
              <w:t>1</w:t>
            </w:r>
          </w:p>
        </w:tc>
        <w:tc>
          <w:tcPr>
            <w:tcW w:type="dxa" w:w="1879"/>
            <w:tcBorders>
              <w:top w:color="000000" w:sz="4" w:val="single"/>
              <w:left w:color="000000" w:sz="4" w:val="single"/>
              <w:bottom w:color="000000" w:sz="4" w:val="single"/>
              <w:right w:color="000000" w:sz="4" w:val="single"/>
            </w:tcBorders>
            <w:vAlign w:val="center"/>
          </w:tcPr>
          <w:p w14:paraId="20010000">
            <w:pPr>
              <w:spacing w:after="0"/>
              <w:ind/>
              <w:jc w:val="center"/>
              <w:rPr>
                <w:rFonts w:ascii="Times New Roman" w:hAnsi="Times New Roman"/>
                <w:color w:val="000000"/>
              </w:rPr>
            </w:pPr>
            <w:r>
              <w:rPr>
                <w:rFonts w:ascii="Times New Roman" w:hAnsi="Times New Roman"/>
              </w:rPr>
              <w:t>34</w:t>
            </w:r>
          </w:p>
        </w:tc>
      </w:tr>
      <w:tr>
        <w:tc>
          <w:tcPr>
            <w:tcW w:type="dxa" w:w="6014"/>
            <w:gridSpan w:val="3"/>
            <w:tcBorders>
              <w:top w:color="000000" w:sz="4" w:val="single"/>
              <w:left w:color="000000" w:sz="4" w:val="single"/>
              <w:bottom w:color="000000" w:sz="4" w:val="single"/>
              <w:right w:color="000000" w:sz="4" w:val="single"/>
            </w:tcBorders>
          </w:tcPr>
          <w:p w14:paraId="21010000">
            <w:pPr>
              <w:spacing w:after="0"/>
              <w:ind/>
              <w:jc w:val="center"/>
              <w:rPr>
                <w:rFonts w:ascii="Times New Roman" w:hAnsi="Times New Roman"/>
                <w:color w:val="000000"/>
              </w:rPr>
            </w:pPr>
            <w:r>
              <w:rPr>
                <w:rFonts w:ascii="Times New Roman" w:hAnsi="Times New Roman"/>
              </w:rPr>
              <w:t>ИТОГО</w:t>
            </w:r>
          </w:p>
        </w:tc>
        <w:tc>
          <w:tcPr>
            <w:tcW w:type="dxa" w:w="1585"/>
            <w:tcBorders>
              <w:top w:color="000000" w:sz="4" w:val="single"/>
              <w:left w:color="000000" w:sz="4" w:val="single"/>
              <w:bottom w:color="000000" w:sz="4" w:val="single"/>
              <w:right w:color="000000" w:sz="4" w:val="single"/>
            </w:tcBorders>
            <w:shd w:fill="FFFFFF" w:val="clear"/>
          </w:tcPr>
          <w:p w14:paraId="22010000">
            <w:pPr>
              <w:spacing w:after="0"/>
              <w:ind/>
              <w:jc w:val="center"/>
              <w:rPr>
                <w:rFonts w:ascii="Times New Roman" w:hAnsi="Times New Roman"/>
                <w:color w:val="000000"/>
              </w:rPr>
            </w:pPr>
            <w:r>
              <w:rPr>
                <w:rFonts w:ascii="Times New Roman" w:hAnsi="Times New Roman"/>
              </w:rPr>
              <w:t>6</w:t>
            </w:r>
          </w:p>
        </w:tc>
        <w:tc>
          <w:tcPr>
            <w:tcW w:type="dxa" w:w="1879"/>
            <w:tcBorders>
              <w:top w:color="000000" w:sz="4" w:val="single"/>
              <w:left w:color="000000" w:sz="4" w:val="single"/>
              <w:bottom w:color="000000" w:sz="4" w:val="single"/>
              <w:right w:color="000000" w:sz="4" w:val="single"/>
            </w:tcBorders>
            <w:vAlign w:val="center"/>
          </w:tcPr>
          <w:p w14:paraId="23010000">
            <w:pPr>
              <w:spacing w:after="0"/>
              <w:ind/>
              <w:jc w:val="center"/>
              <w:rPr>
                <w:rFonts w:ascii="Times New Roman" w:hAnsi="Times New Roman"/>
                <w:color w:val="000000"/>
              </w:rPr>
            </w:pPr>
            <w:r>
              <w:rPr>
                <w:rFonts w:ascii="Times New Roman" w:hAnsi="Times New Roman"/>
              </w:rPr>
              <w:t>204</w:t>
            </w:r>
          </w:p>
        </w:tc>
      </w:tr>
      <w:tr>
        <w:tc>
          <w:tcPr>
            <w:tcW w:type="dxa" w:w="2123"/>
            <w:tcBorders>
              <w:top w:color="000000" w:sz="4" w:val="single"/>
              <w:left w:color="000000" w:sz="4" w:val="single"/>
              <w:bottom w:color="000000" w:sz="4" w:val="single"/>
              <w:right w:color="000000" w:sz="4" w:val="single"/>
            </w:tcBorders>
            <w:vAlign w:val="center"/>
          </w:tcPr>
          <w:p w14:paraId="24010000">
            <w:pPr>
              <w:spacing w:after="0"/>
              <w:ind/>
              <w:jc w:val="center"/>
              <w:rPr>
                <w:rFonts w:ascii="Times New Roman" w:hAnsi="Times New Roman"/>
                <w:color w:val="000000"/>
              </w:rPr>
            </w:pPr>
            <w:r>
              <w:rPr>
                <w:rFonts w:ascii="Times New Roman" w:hAnsi="Times New Roman"/>
              </w:rPr>
              <w:t>ИТОГО</w:t>
            </w:r>
          </w:p>
        </w:tc>
        <w:tc>
          <w:tcPr>
            <w:tcW w:type="dxa" w:w="2452"/>
            <w:tcBorders>
              <w:top w:color="000000" w:sz="4" w:val="single"/>
              <w:left w:color="000000" w:sz="4" w:val="single"/>
              <w:bottom w:color="000000" w:sz="4" w:val="single"/>
              <w:right w:color="000000" w:sz="4" w:val="single"/>
            </w:tcBorders>
            <w:shd w:fill="FFFFFF" w:val="clear"/>
          </w:tcPr>
          <w:p w14:paraId="25010000">
            <w:pPr>
              <w:spacing w:after="0"/>
              <w:ind/>
              <w:rPr>
                <w:rFonts w:ascii="Times New Roman" w:hAnsi="Times New Roman"/>
                <w:color w:val="000000"/>
              </w:rPr>
            </w:pPr>
          </w:p>
        </w:tc>
        <w:tc>
          <w:tcPr>
            <w:tcW w:type="dxa" w:w="1439"/>
            <w:tcBorders>
              <w:top w:color="000000" w:sz="4" w:val="single"/>
              <w:left w:color="000000" w:sz="4" w:val="single"/>
              <w:bottom w:color="000000" w:sz="4" w:val="single"/>
              <w:right w:color="000000" w:sz="4" w:val="single"/>
            </w:tcBorders>
            <w:shd w:fill="FFFFFF" w:val="clear"/>
          </w:tcPr>
          <w:p w14:paraId="26010000">
            <w:pPr>
              <w:spacing w:after="0"/>
              <w:ind/>
              <w:jc w:val="center"/>
              <w:rPr>
                <w:rFonts w:ascii="Times New Roman" w:hAnsi="Times New Roman"/>
                <w:color w:val="000000"/>
              </w:rPr>
            </w:pPr>
          </w:p>
        </w:tc>
        <w:tc>
          <w:tcPr>
            <w:tcW w:type="dxa" w:w="1585"/>
            <w:tcBorders>
              <w:top w:color="000000" w:sz="4" w:val="single"/>
              <w:left w:color="000000" w:sz="4" w:val="single"/>
              <w:bottom w:color="000000" w:sz="4" w:val="single"/>
              <w:right w:color="000000" w:sz="4" w:val="single"/>
            </w:tcBorders>
            <w:shd w:fill="FFFFFF" w:val="clear"/>
          </w:tcPr>
          <w:p w14:paraId="27010000">
            <w:pPr>
              <w:spacing w:after="0"/>
              <w:ind/>
              <w:jc w:val="center"/>
              <w:rPr>
                <w:rFonts w:ascii="Times New Roman" w:hAnsi="Times New Roman"/>
                <w:color w:val="000000"/>
              </w:rPr>
            </w:pPr>
          </w:p>
          <w:p w14:paraId="28010000">
            <w:pPr>
              <w:spacing w:after="0"/>
              <w:ind/>
              <w:jc w:val="center"/>
              <w:rPr>
                <w:rFonts w:ascii="Times New Roman" w:hAnsi="Times New Roman"/>
              </w:rPr>
            </w:pPr>
          </w:p>
          <w:p w14:paraId="29010000">
            <w:pPr>
              <w:spacing w:after="0"/>
              <w:ind/>
              <w:jc w:val="center"/>
              <w:rPr>
                <w:rFonts w:ascii="Times New Roman" w:hAnsi="Times New Roman"/>
                <w:color w:val="000000"/>
              </w:rPr>
            </w:pPr>
            <w:r>
              <w:rPr>
                <w:rFonts w:ascii="Times New Roman" w:hAnsi="Times New Roman"/>
              </w:rPr>
              <w:t>13</w:t>
            </w:r>
          </w:p>
        </w:tc>
        <w:tc>
          <w:tcPr>
            <w:tcW w:type="dxa" w:w="1879"/>
            <w:tcBorders>
              <w:top w:color="000000" w:sz="4" w:val="single"/>
              <w:left w:color="000000" w:sz="4" w:val="single"/>
              <w:bottom w:color="000000" w:sz="4" w:val="single"/>
              <w:right w:color="000000" w:sz="4" w:val="single"/>
            </w:tcBorders>
            <w:vAlign w:val="center"/>
          </w:tcPr>
          <w:p w14:paraId="2A010000">
            <w:pPr>
              <w:spacing w:after="0"/>
              <w:ind/>
              <w:jc w:val="center"/>
              <w:rPr>
                <w:rFonts w:ascii="Times New Roman" w:hAnsi="Times New Roman"/>
                <w:color w:val="000000"/>
              </w:rPr>
            </w:pPr>
            <w:r>
              <w:rPr>
                <w:rFonts w:ascii="Times New Roman" w:hAnsi="Times New Roman"/>
              </w:rPr>
              <w:t>13/</w:t>
            </w:r>
            <w:r>
              <w:rPr>
                <w:rFonts w:ascii="Times New Roman" w:hAnsi="Times New Roman"/>
              </w:rPr>
              <w:t>442</w:t>
            </w:r>
          </w:p>
        </w:tc>
      </w:tr>
    </w:tbl>
    <w:p w14:paraId="2B010000">
      <w:pPr>
        <w:spacing w:after="0"/>
        <w:ind/>
        <w:rPr>
          <w:rFonts w:ascii="Times New Roman" w:hAnsi="Times New Roman"/>
          <w:b w:val="1"/>
          <w:color w:val="000000"/>
        </w:rPr>
      </w:pPr>
    </w:p>
    <w:p w14:paraId="2C010000">
      <w:pPr>
        <w:rPr>
          <w:rFonts w:ascii="Times New Roman" w:hAnsi="Times New Roman"/>
          <w:b w:val="1"/>
        </w:rPr>
      </w:pPr>
    </w:p>
    <w:p w14:paraId="2D010000">
      <w:pPr>
        <w:rPr>
          <w:rFonts w:ascii="Times New Roman" w:hAnsi="Times New Roman"/>
          <w:b w:val="1"/>
        </w:rPr>
      </w:pPr>
    </w:p>
    <w:p w14:paraId="2E010000">
      <w:pPr>
        <w:spacing w:after="0" w:line="240" w:lineRule="auto"/>
        <w:ind/>
        <w:contextualSpacing w:val="1"/>
        <w:jc w:val="center"/>
        <w:rPr>
          <w:rFonts w:ascii="Times New Roman" w:hAnsi="Times New Roman"/>
          <w:sz w:val="24"/>
        </w:rPr>
      </w:pPr>
    </w:p>
    <w:p w14:paraId="2F010000">
      <w:pPr>
        <w:tabs>
          <w:tab w:leader="none" w:pos="3570" w:val="left"/>
        </w:tabs>
        <w:spacing w:after="0"/>
        <w:ind/>
        <w:rPr>
          <w:rFonts w:ascii="Times New Roman" w:hAnsi="Times New Roman"/>
          <w:sz w:val="24"/>
        </w:rPr>
      </w:pPr>
    </w:p>
    <w:sectPr>
      <w:pgSz w:h="16838" w:w="11906"/>
      <w:pgMar w:bottom="1134" w:footer="708" w:gutter="0" w:header="708" w:left="1701" w:right="850" w:top="1134"/>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settings.xml><?xml version="1.0" encoding="utf-8"?>
<w:settings xmlns:a="http://schemas.openxmlformats.org/drawingml/2006/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x14="http://schemas.microsoft.com/office/spreadsheetml/2009/9/main" xmlns:xdr="http://schemas.openxmlformats.org/drawingml/2006/spreadsheetDrawing" xmlns:xml="http://www.w3.org/XML/1998/namespace" mc:Ignorable="co w14 x14 w15">
  <w:defaultTabStop w:val="708"/>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x14="http://schemas.microsoft.com/office/spreadsheetml/2009/9/main" xmlns:xdr="http://schemas.openxmlformats.org/drawingml/2006/spreadsheetDrawing" xmlns:xml="http://www.w3.org/XML/1998/namespace" mc:Ignorable="co w14 x14 w15">
  <w:docDefaults>
    <w:rPrDefault>
      <w:rPr>
        <w:rFonts w:asciiTheme="minorAscii" w:hAnsiTheme="minorHAnsi"/>
        <w:color w:val="000000"/>
        <w:spacing w:val="0"/>
        <w:sz w:val="22"/>
      </w:rPr>
    </w:rPrDefault>
    <w:pPrDefault>
      <w:pPr>
        <w:spacing w:after="200" w:before="0" w:line="276" w:lineRule="auto"/>
        <w:ind w:firstLine="0" w:left="0" w:right="0"/>
        <w:jc w:val="left"/>
      </w:pPr>
    </w:pPrDefault>
  </w:docDefaults>
  <w:latentStyles w:count="2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heading 10"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toc 10" w:qFormat="0" w:semiHidden="0" w:uiPriority="39" w:unhideWhenUsed="0"/>
    <w:lsdException w:name="Hyperlink" w:qFormat="0" w:semiHidden="0" w:unhideWhenUsed="0"/>
  </w:latentStyles>
  <w:style w:default="1" w:styleId="Style_6" w:type="paragraph">
    <w:name w:val="Normal"/>
    <w:link w:val="Style_6_ch"/>
    <w:uiPriority w:val="0"/>
    <w:qFormat/>
    <w:rPr>
      <w:rFonts w:ascii="Calibri" w:hAnsi="Calibri"/>
    </w:rPr>
  </w:style>
  <w:style w:default="1" w:styleId="Style_6_ch" w:type="character">
    <w:name w:val="Normal"/>
    <w:link w:val="Style_6"/>
    <w:rPr>
      <w:rFonts w:ascii="Calibri" w:hAnsi="Calibri"/>
    </w:rPr>
  </w:style>
  <w:style w:styleId="Style_7" w:type="paragraph">
    <w:name w:val="toc 2"/>
    <w:link w:val="Style_7_ch"/>
    <w:uiPriority w:val="39"/>
    <w:pPr>
      <w:ind w:firstLine="0" w:left="200"/>
    </w:pPr>
  </w:style>
  <w:style w:styleId="Style_7_ch" w:type="character">
    <w:name w:val="toc 2"/>
    <w:link w:val="Style_7"/>
  </w:style>
  <w:style w:styleId="Style_8" w:type="paragraph">
    <w:name w:val="toc 4"/>
    <w:link w:val="Style_8_ch"/>
    <w:uiPriority w:val="39"/>
    <w:pPr>
      <w:ind w:firstLine="0" w:left="600"/>
    </w:pPr>
  </w:style>
  <w:style w:styleId="Style_8_ch" w:type="character">
    <w:name w:val="toc 4"/>
    <w:link w:val="Style_8"/>
  </w:style>
  <w:style w:styleId="Style_9" w:type="paragraph">
    <w:name w:val="toc 6"/>
    <w:link w:val="Style_9_ch"/>
    <w:uiPriority w:val="39"/>
    <w:pPr>
      <w:ind w:firstLine="0" w:left="1000"/>
    </w:pPr>
  </w:style>
  <w:style w:styleId="Style_9_ch" w:type="character">
    <w:name w:val="toc 6"/>
    <w:link w:val="Style_9"/>
  </w:style>
  <w:style w:styleId="Style_10" w:type="paragraph">
    <w:name w:val="toc 7"/>
    <w:link w:val="Style_10_ch"/>
    <w:uiPriority w:val="39"/>
    <w:pPr>
      <w:ind w:firstLine="0" w:left="1200"/>
    </w:pPr>
  </w:style>
  <w:style w:styleId="Style_10_ch" w:type="character">
    <w:name w:val="toc 7"/>
    <w:link w:val="Style_10"/>
  </w:style>
  <w:style w:styleId="Style_11" w:type="paragraph">
    <w:name w:val="heading 3"/>
    <w:link w:val="Style_11_ch"/>
    <w:uiPriority w:val="9"/>
    <w:qFormat/>
    <w:pPr>
      <w:ind/>
      <w:outlineLvl w:val="2"/>
    </w:pPr>
    <w:rPr>
      <w:rFonts w:ascii="XO Thames" w:hAnsi="XO Thames"/>
      <w:b w:val="1"/>
      <w:i w:val="1"/>
      <w:color w:val="000000"/>
    </w:rPr>
  </w:style>
  <w:style w:styleId="Style_11_ch" w:type="character">
    <w:name w:val="heading 3"/>
    <w:link w:val="Style_11"/>
    <w:rPr>
      <w:rFonts w:ascii="XO Thames" w:hAnsi="XO Thames"/>
      <w:b w:val="1"/>
      <w:i w:val="1"/>
      <w:color w:val="000000"/>
    </w:rPr>
  </w:style>
  <w:style w:styleId="Style_2" w:type="paragraph">
    <w:name w:val="Основной текст1"/>
    <w:link w:val="Style_2_ch"/>
    <w:rPr>
      <w:rFonts w:ascii="Times New Roman" w:hAnsi="Times New Roman"/>
      <w:color w:val="000000"/>
      <w:spacing w:val="0"/>
      <w:sz w:val="25"/>
      <w:highlight w:val="white"/>
      <w:u w:val="single"/>
    </w:rPr>
  </w:style>
  <w:style w:styleId="Style_2_ch" w:type="character">
    <w:name w:val="Основной текст1"/>
    <w:link w:val="Style_2"/>
    <w:rPr>
      <w:rFonts w:ascii="Times New Roman" w:hAnsi="Times New Roman"/>
      <w:color w:val="000000"/>
      <w:spacing w:val="0"/>
      <w:sz w:val="25"/>
      <w:highlight w:val="white"/>
      <w:u w:val="single"/>
    </w:rPr>
  </w:style>
  <w:style w:styleId="Style_12" w:type="paragraph">
    <w:name w:val="Zag_11"/>
    <w:link w:val="Style_12_ch"/>
  </w:style>
  <w:style w:styleId="Style_12_ch" w:type="character">
    <w:name w:val="Zag_11"/>
    <w:link w:val="Style_12"/>
  </w:style>
  <w:style w:styleId="Style_13" w:type="paragraph">
    <w:name w:val="toc 3"/>
    <w:link w:val="Style_13_ch"/>
    <w:uiPriority w:val="39"/>
    <w:pPr>
      <w:ind w:firstLine="0" w:left="400"/>
    </w:pPr>
  </w:style>
  <w:style w:styleId="Style_13_ch" w:type="character">
    <w:name w:val="toc 3"/>
    <w:link w:val="Style_13"/>
  </w:style>
  <w:style w:styleId="Style_14" w:type="paragraph">
    <w:name w:val="heading 5"/>
    <w:link w:val="Style_14_ch"/>
    <w:uiPriority w:val="9"/>
    <w:qFormat/>
    <w:pPr>
      <w:spacing w:after="120" w:before="120"/>
      <w:ind/>
      <w:outlineLvl w:val="4"/>
    </w:pPr>
    <w:rPr>
      <w:rFonts w:ascii="XO Thames" w:hAnsi="XO Thames"/>
      <w:b w:val="1"/>
      <w:color w:val="000000"/>
      <w:sz w:val="22"/>
    </w:rPr>
  </w:style>
  <w:style w:styleId="Style_14_ch" w:type="character">
    <w:name w:val="heading 5"/>
    <w:link w:val="Style_14"/>
    <w:rPr>
      <w:rFonts w:ascii="XO Thames" w:hAnsi="XO Thames"/>
      <w:b w:val="1"/>
      <w:color w:val="000000"/>
      <w:sz w:val="22"/>
    </w:rPr>
  </w:style>
  <w:style w:styleId="Style_15" w:type="paragraph">
    <w:name w:val="heading 1"/>
    <w:link w:val="Style_15_ch"/>
    <w:uiPriority w:val="9"/>
    <w:qFormat/>
    <w:pPr>
      <w:spacing w:after="120" w:before="120"/>
      <w:ind/>
      <w:outlineLvl w:val="0"/>
    </w:pPr>
    <w:rPr>
      <w:rFonts w:ascii="XO Thames" w:hAnsi="XO Thames"/>
      <w:b w:val="1"/>
      <w:sz w:val="32"/>
    </w:rPr>
  </w:style>
  <w:style w:styleId="Style_15_ch" w:type="character">
    <w:name w:val="heading 1"/>
    <w:link w:val="Style_15"/>
    <w:rPr>
      <w:rFonts w:ascii="XO Thames" w:hAnsi="XO Thames"/>
      <w:b w:val="1"/>
      <w:sz w:val="32"/>
    </w:rPr>
  </w:style>
  <w:style w:styleId="Style_16" w:type="paragraph">
    <w:name w:val="Hyperlink"/>
    <w:link w:val="Style_16_ch"/>
    <w:rPr>
      <w:color w:val="0000FF"/>
      <w:u w:val="single"/>
    </w:rPr>
  </w:style>
  <w:style w:styleId="Style_16_ch" w:type="character">
    <w:name w:val="Hyperlink"/>
    <w:link w:val="Style_16"/>
    <w:rPr>
      <w:color w:val="0000FF"/>
      <w:u w:val="single"/>
    </w:rPr>
  </w:style>
  <w:style w:styleId="Style_17" w:type="paragraph">
    <w:name w:val="Footnote"/>
    <w:link w:val="Style_17_ch"/>
    <w:pPr>
      <w:ind/>
      <w:jc w:val="left"/>
    </w:pPr>
    <w:rPr>
      <w:rFonts w:ascii="XO Thames" w:hAnsi="XO Thames"/>
      <w:sz w:val="22"/>
    </w:rPr>
  </w:style>
  <w:style w:styleId="Style_17_ch" w:type="character">
    <w:name w:val="Footnote"/>
    <w:link w:val="Style_17"/>
    <w:rPr>
      <w:rFonts w:ascii="XO Thames" w:hAnsi="XO Thames"/>
      <w:sz w:val="22"/>
    </w:rPr>
  </w:style>
  <w:style w:styleId="Style_18" w:type="paragraph">
    <w:name w:val="toc 1"/>
    <w:link w:val="Style_18_ch"/>
    <w:uiPriority w:val="39"/>
    <w:pPr>
      <w:ind w:firstLine="0" w:left="0"/>
    </w:pPr>
    <w:rPr>
      <w:rFonts w:ascii="XO Thames" w:hAnsi="XO Thames"/>
      <w:b w:val="1"/>
    </w:rPr>
  </w:style>
  <w:style w:styleId="Style_18_ch" w:type="character">
    <w:name w:val="toc 1"/>
    <w:link w:val="Style_18"/>
    <w:rPr>
      <w:rFonts w:ascii="XO Thames" w:hAnsi="XO Thames"/>
      <w:b w:val="1"/>
    </w:rPr>
  </w:style>
  <w:style w:styleId="Style_19" w:type="paragraph">
    <w:name w:val="Header and Footer"/>
    <w:link w:val="Style_19_ch"/>
    <w:pPr>
      <w:spacing w:line="360" w:lineRule="auto"/>
      <w:ind/>
    </w:pPr>
    <w:rPr>
      <w:rFonts w:ascii="XO Thames" w:hAnsi="XO Thames"/>
      <w:sz w:val="20"/>
    </w:rPr>
  </w:style>
  <w:style w:styleId="Style_19_ch" w:type="character">
    <w:name w:val="Header and Footer"/>
    <w:link w:val="Style_19"/>
    <w:rPr>
      <w:rFonts w:ascii="XO Thames" w:hAnsi="XO Thames"/>
      <w:sz w:val="20"/>
    </w:rPr>
  </w:style>
  <w:style w:styleId="Style_20" w:type="paragraph">
    <w:name w:val="toc 9"/>
    <w:link w:val="Style_20_ch"/>
    <w:uiPriority w:val="39"/>
    <w:pPr>
      <w:ind w:firstLine="0" w:left="1600"/>
    </w:pPr>
  </w:style>
  <w:style w:styleId="Style_20_ch" w:type="character">
    <w:name w:val="toc 9"/>
    <w:link w:val="Style_20"/>
  </w:style>
  <w:style w:styleId="Style_21" w:type="paragraph">
    <w:name w:val="toc 8"/>
    <w:link w:val="Style_21_ch"/>
    <w:uiPriority w:val="39"/>
    <w:pPr>
      <w:ind w:firstLine="0" w:left="1400"/>
    </w:pPr>
  </w:style>
  <w:style w:styleId="Style_21_ch" w:type="character">
    <w:name w:val="toc 8"/>
    <w:link w:val="Style_21"/>
  </w:style>
  <w:style w:styleId="Style_22" w:type="paragraph">
    <w:name w:val="Default Paragraph Font"/>
    <w:link w:val="Style_22_ch"/>
  </w:style>
  <w:style w:styleId="Style_22_ch" w:type="character">
    <w:name w:val="Default Paragraph Font"/>
    <w:link w:val="Style_22"/>
  </w:style>
  <w:style w:styleId="Style_23" w:type="paragraph">
    <w:name w:val="Balloon Text"/>
    <w:basedOn w:val="Style_6"/>
    <w:link w:val="Style_23_ch"/>
    <w:pPr>
      <w:spacing w:after="0" w:line="240" w:lineRule="auto"/>
      <w:ind/>
    </w:pPr>
    <w:rPr>
      <w:rFonts w:ascii="Tahoma" w:hAnsi="Tahoma"/>
      <w:sz w:val="16"/>
    </w:rPr>
  </w:style>
  <w:style w:styleId="Style_23_ch" w:type="character">
    <w:name w:val="Balloon Text"/>
    <w:basedOn w:val="Style_6_ch"/>
    <w:link w:val="Style_23"/>
    <w:rPr>
      <w:rFonts w:ascii="Tahoma" w:hAnsi="Tahoma"/>
      <w:sz w:val="16"/>
    </w:rPr>
  </w:style>
  <w:style w:styleId="Style_4" w:type="paragraph">
    <w:name w:val="Normal (Web)"/>
    <w:basedOn w:val="Style_6"/>
    <w:link w:val="Style_4_ch"/>
    <w:pPr>
      <w:spacing w:afterAutospacing="on" w:beforeAutospacing="on" w:line="240" w:lineRule="auto"/>
      <w:ind/>
    </w:pPr>
    <w:rPr>
      <w:rFonts w:ascii="Times New Roman" w:hAnsi="Times New Roman"/>
      <w:sz w:val="24"/>
    </w:rPr>
  </w:style>
  <w:style w:styleId="Style_4_ch" w:type="character">
    <w:name w:val="Normal (Web)"/>
    <w:basedOn w:val="Style_6_ch"/>
    <w:link w:val="Style_4"/>
    <w:rPr>
      <w:rFonts w:ascii="Times New Roman" w:hAnsi="Times New Roman"/>
      <w:sz w:val="24"/>
    </w:rPr>
  </w:style>
  <w:style w:styleId="Style_1" w:type="paragraph">
    <w:name w:val="Основной текст3"/>
    <w:basedOn w:val="Style_6"/>
    <w:link w:val="Style_1_ch"/>
    <w:pPr>
      <w:widowControl w:val="0"/>
      <w:spacing w:after="60" w:line="0" w:lineRule="atLeast"/>
      <w:ind w:hanging="360" w:left="0"/>
      <w:jc w:val="center"/>
    </w:pPr>
    <w:rPr>
      <w:rFonts w:ascii="Times New Roman" w:hAnsi="Times New Roman"/>
      <w:sz w:val="25"/>
    </w:rPr>
  </w:style>
  <w:style w:styleId="Style_1_ch" w:type="character">
    <w:name w:val="Основной текст3"/>
    <w:basedOn w:val="Style_6_ch"/>
    <w:link w:val="Style_1"/>
    <w:rPr>
      <w:rFonts w:ascii="Times New Roman" w:hAnsi="Times New Roman"/>
      <w:sz w:val="25"/>
    </w:rPr>
  </w:style>
  <w:style w:styleId="Style_24" w:type="paragraph">
    <w:name w:val="toc 5"/>
    <w:link w:val="Style_24_ch"/>
    <w:uiPriority w:val="39"/>
    <w:pPr>
      <w:ind w:firstLine="0" w:left="800"/>
    </w:pPr>
  </w:style>
  <w:style w:styleId="Style_24_ch" w:type="character">
    <w:name w:val="toc 5"/>
    <w:link w:val="Style_24"/>
  </w:style>
  <w:style w:styleId="Style_3" w:type="paragraph">
    <w:name w:val="No Spacing"/>
    <w:link w:val="Style_3_ch"/>
    <w:pPr>
      <w:spacing w:after="0" w:line="240" w:lineRule="auto"/>
      <w:ind/>
    </w:pPr>
    <w:rPr>
      <w:rFonts w:ascii="Calibri" w:hAnsi="Calibri"/>
    </w:rPr>
  </w:style>
  <w:style w:styleId="Style_3_ch" w:type="character">
    <w:name w:val="No Spacing"/>
    <w:link w:val="Style_3"/>
    <w:rPr>
      <w:rFonts w:ascii="Calibri" w:hAnsi="Calibri"/>
    </w:rPr>
  </w:style>
  <w:style w:styleId="Style_25" w:type="paragraph">
    <w:name w:val="Подпись к таблице"/>
    <w:basedOn w:val="Style_6"/>
    <w:link w:val="Style_25_ch"/>
    <w:pPr>
      <w:widowControl w:val="0"/>
      <w:spacing w:after="0" w:line="0" w:lineRule="atLeast"/>
      <w:ind/>
    </w:pPr>
    <w:rPr>
      <w:rFonts w:ascii="Times New Roman" w:hAnsi="Times New Roman"/>
      <w:sz w:val="25"/>
    </w:rPr>
  </w:style>
  <w:style w:styleId="Style_25_ch" w:type="character">
    <w:name w:val="Подпись к таблице"/>
    <w:basedOn w:val="Style_6_ch"/>
    <w:link w:val="Style_25"/>
    <w:rPr>
      <w:rFonts w:ascii="Times New Roman" w:hAnsi="Times New Roman"/>
      <w:sz w:val="25"/>
    </w:rPr>
  </w:style>
  <w:style w:styleId="Style_26" w:type="paragraph">
    <w:name w:val="Subtitle"/>
    <w:link w:val="Style_26_ch"/>
    <w:uiPriority w:val="11"/>
    <w:qFormat/>
    <w:rPr>
      <w:rFonts w:ascii="XO Thames" w:hAnsi="XO Thames"/>
      <w:i w:val="1"/>
      <w:color w:val="616161"/>
      <w:sz w:val="24"/>
    </w:rPr>
  </w:style>
  <w:style w:styleId="Style_26_ch" w:type="character">
    <w:name w:val="Subtitle"/>
    <w:link w:val="Style_26"/>
    <w:rPr>
      <w:rFonts w:ascii="XO Thames" w:hAnsi="XO Thames"/>
      <w:i w:val="1"/>
      <w:color w:val="616161"/>
      <w:sz w:val="24"/>
    </w:rPr>
  </w:style>
  <w:style w:styleId="Style_27" w:type="paragraph">
    <w:name w:val="toc 10"/>
    <w:link w:val="Style_27_ch"/>
    <w:uiPriority w:val="39"/>
    <w:pPr>
      <w:ind w:firstLine="0" w:left="1800"/>
    </w:pPr>
  </w:style>
  <w:style w:styleId="Style_27_ch" w:type="character">
    <w:name w:val="toc 10"/>
    <w:link w:val="Style_27"/>
  </w:style>
  <w:style w:styleId="Style_28" w:type="paragraph">
    <w:name w:val="Title"/>
    <w:link w:val="Style_28_ch"/>
    <w:uiPriority w:val="10"/>
    <w:qFormat/>
    <w:rPr>
      <w:rFonts w:ascii="XO Thames" w:hAnsi="XO Thames"/>
      <w:b w:val="1"/>
      <w:sz w:val="52"/>
    </w:rPr>
  </w:style>
  <w:style w:styleId="Style_28_ch" w:type="character">
    <w:name w:val="Title"/>
    <w:link w:val="Style_28"/>
    <w:rPr>
      <w:rFonts w:ascii="XO Thames" w:hAnsi="XO Thames"/>
      <w:b w:val="1"/>
      <w:sz w:val="52"/>
    </w:rPr>
  </w:style>
  <w:style w:styleId="Style_29" w:type="paragraph">
    <w:name w:val="heading 4"/>
    <w:link w:val="Style_29_ch"/>
    <w:uiPriority w:val="9"/>
    <w:qFormat/>
    <w:pPr>
      <w:spacing w:after="120" w:before="120"/>
      <w:ind/>
      <w:outlineLvl w:val="3"/>
    </w:pPr>
    <w:rPr>
      <w:rFonts w:ascii="XO Thames" w:hAnsi="XO Thames"/>
      <w:b w:val="1"/>
      <w:color w:val="595959"/>
      <w:sz w:val="26"/>
    </w:rPr>
  </w:style>
  <w:style w:styleId="Style_29_ch" w:type="character">
    <w:name w:val="heading 4"/>
    <w:link w:val="Style_29"/>
    <w:rPr>
      <w:rFonts w:ascii="XO Thames" w:hAnsi="XO Thames"/>
      <w:b w:val="1"/>
      <w:color w:val="595959"/>
      <w:sz w:val="26"/>
    </w:rPr>
  </w:style>
  <w:style w:styleId="Style_30" w:type="paragraph">
    <w:name w:val="heading 2"/>
    <w:link w:val="Style_30_ch"/>
    <w:uiPriority w:val="9"/>
    <w:qFormat/>
    <w:pPr>
      <w:spacing w:after="120" w:before="120"/>
      <w:ind/>
      <w:outlineLvl w:val="1"/>
    </w:pPr>
    <w:rPr>
      <w:rFonts w:ascii="XO Thames" w:hAnsi="XO Thames"/>
      <w:b w:val="1"/>
      <w:color w:val="00A0FF"/>
      <w:sz w:val="26"/>
    </w:rPr>
  </w:style>
  <w:style w:styleId="Style_30_ch" w:type="character">
    <w:name w:val="heading 2"/>
    <w:link w:val="Style_30"/>
    <w:rPr>
      <w:rFonts w:ascii="XO Thames" w:hAnsi="XO Thames"/>
      <w:b w:val="1"/>
      <w:color w:val="00A0FF"/>
      <w:sz w:val="26"/>
    </w:rPr>
  </w:style>
  <w:style w:default="1" w:styleId="Style_5" w:type="table">
    <w:name w:val="Normal Table"/>
    <w:tblPr>
      <w:tblInd w:type="dxa" w:w="0"/>
      <w:tblCellMar>
        <w:top w:type="dxa" w:w="0"/>
        <w:left w:type="dxa" w:w="108"/>
        <w:bottom w:type="dxa" w:w="0"/>
        <w:right w:type="dxa" w:w="108"/>
      </w:tblCellMar>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7" Target="theme/theme1.xml" Type="http://schemas.openxmlformats.org/officeDocument/2006/relationships/theme"/>
  <Relationship Id="rId6" Target="webSettings.xml" Type="http://schemas.openxmlformats.org/officeDocument/2006/relationships/webSettings"/>
  <Relationship Id="rId5" Target="stylesWithEffects.xml" Type="http://schemas.microsoft.com/office/2007/relationships/stylesWithEffects"/>
  <Relationship Id="rId4" Target="styles.xml" Type="http://schemas.openxmlformats.org/officeDocument/2006/relationships/styles"/>
  <Relationship Id="rId3" Target="settings.xml" Type="http://schemas.openxmlformats.org/officeDocument/2006/relationships/settings"/>
  <Relationship Id="rId2" Target="fontTable.xml" Type="http://schemas.openxmlformats.org/officeDocument/2006/relationships/fontTable"/>
  <Relationship Id="rId1" Target="media/1.png" Type="http://schemas.openxmlformats.org/officeDocument/2006/relationships/image"/>
</Relationships>

</file>

<file path=word/theme/theme1.xml><?xml version="1.0" encoding="utf-8"?>
<a:theme xmlns:a="http://schemas.openxmlformats.org/drawingml/2006/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x14="http://schemas.microsoft.com/office/spreadsheetml/2009/9/main" xmlns:xdr="http://schemas.openxmlformats.org/drawingml/2006/spreadsheetDrawing" xmlns:xml="http://www.w3.org/XML/1998/namespace"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majorFont>
      <a:minorFont>
        <a:latin typeface="Calibri"/>
        <a:ea typeface=""/>
        <a:cs typeface=""/>
      </a:minorFont>
    </a:fontScheme>
    <a:fmtScheme name="Стандартная">
      <a:fillStyleLst>
        <a:solidFill>
          <a:schemeClr val="phClr"/>
        </a:solidFill>
        <a:gradFill>
          <a:gsLst>
            <a:gs pos="0%">
              <a:schemeClr val="phClr">
                <a:tint val="50%"/>
                <a:satMod val="300%"/>
              </a:schemeClr>
            </a:gs>
            <a:gs pos="35%">
              <a:schemeClr val="phClr">
                <a:tint val="37%"/>
                <a:satMod val="300%"/>
              </a:schemeClr>
            </a:gs>
            <a:gs pos="100%">
              <a:schemeClr val="phClr">
                <a:tint val="15%"/>
                <a:satMod val="350%"/>
              </a:schemeClr>
            </a:gs>
          </a:gsLst>
        </a:gradFill>
        <a:gradFill>
          <a:gsLst>
            <a:gs pos="0%">
              <a:schemeClr val="phClr">
                <a:shade val="51%"/>
                <a:satMod val="130%"/>
              </a:schemeClr>
            </a:gs>
            <a:gs pos="80%">
              <a:schemeClr val="phClr">
                <a:shade val="93%"/>
                <a:satMod val="130%"/>
              </a:schemeClr>
            </a:gs>
            <a:gs pos="100%">
              <a:schemeClr val="phClr">
                <a:shade val="94%"/>
                <a:satMod val="135%"/>
              </a:schemeClr>
            </a:gs>
          </a:gsLst>
        </a:gradFill>
      </a:fillStyleLst>
      <a:lnStyleLst>
        <a:ln w="9525">
          <a:solidFill>
            <a:schemeClr val="phClr">
              <a:shade val="95%"/>
              <a:satMod val="105%"/>
            </a:schemeClr>
          </a:solidFill>
          <a:prstDash val="solid"/>
        </a:ln>
        <a:ln w="25400">
          <a:solidFill>
            <a:schemeClr val="phClr"/>
          </a:solidFill>
          <a:prstDash val="solid"/>
        </a:ln>
        <a:ln w="3810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
                <a:satMod val="350%"/>
              </a:schemeClr>
            </a:gs>
            <a:gs pos="40%">
              <a:schemeClr val="phClr">
                <a:tint val="45%"/>
                <a:shade val="99%"/>
                <a:satMod val="350%"/>
              </a:schemeClr>
            </a:gs>
            <a:gs pos="100%">
              <a:schemeClr val="phClr">
                <a:shade val="20%"/>
                <a:satMod val="255%"/>
              </a:schemeClr>
            </a:gs>
          </a:gsLst>
        </a:gradFill>
        <a:gradFill>
          <a:gsLst>
            <a:gs pos="0%">
              <a:schemeClr val="phClr">
                <a:tint val="80%"/>
                <a:satMod val="300%"/>
              </a:schemeClr>
            </a:gs>
            <a:gs pos="100%">
              <a:schemeClr val="phClr">
                <a:shade val="30%"/>
                <a:satMod val="2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MyOffice-CoreFramework-Windows/15.0-625.146.3192.258.0@RELEASE-DESKTOP-NUTMEG-ST-2</Application>
</Properties>
</file>